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0B" w:rsidRPr="006D4518" w:rsidRDefault="002224D4" w:rsidP="006D4518">
      <w:pPr>
        <w:pStyle w:val="berschrift3"/>
        <w:pageBreakBefore/>
        <w:numPr>
          <w:ilvl w:val="0"/>
          <w:numId w:val="0"/>
        </w:numPr>
        <w:tabs>
          <w:tab w:val="num" w:pos="1440"/>
        </w:tabs>
      </w:pPr>
      <w:r w:rsidRPr="006D4518">
        <w:t>Simulation zum chemischen dynamischen</w:t>
      </w:r>
      <w:r w:rsidR="0071240B" w:rsidRPr="006D4518">
        <w:t xml:space="preserve"> Gleichgewicht</w:t>
      </w:r>
    </w:p>
    <w:p w:rsidR="009F1B6B" w:rsidRDefault="009F1B6B"/>
    <w:p w:rsidR="0071240B" w:rsidRDefault="00DD028C">
      <w:r>
        <w:t>Theorie:</w:t>
      </w:r>
    </w:p>
    <w:p w:rsidR="004A477A" w:rsidRDefault="004A477A" w:rsidP="004A477A">
      <w:r>
        <w:t>Die Schreibweise von chemischen Gleichungen, die bis hierher genutzt worden ist, legt den Schluss nahe, dass bei einem Zusammenstoss von Teilchen (Edukte) ein neuer Stoff (Produkte) gebildet wird:, z.B.</w:t>
      </w:r>
    </w:p>
    <w:p w:rsidR="00B65EAB" w:rsidRDefault="00B65EAB" w:rsidP="004A477A"/>
    <w:p w:rsidR="004A477A" w:rsidRDefault="00B65EAB" w:rsidP="004A477A">
      <w:r>
        <w:tab/>
      </w:r>
      <w:r w:rsidR="001E3637">
        <w:t xml:space="preserve">2 </w:t>
      </w:r>
      <w:r w:rsidR="004A477A">
        <w:t>H</w:t>
      </w:r>
      <w:r w:rsidR="004A477A" w:rsidRPr="004A477A">
        <w:rPr>
          <w:vertAlign w:val="subscript"/>
        </w:rPr>
        <w:t>2</w:t>
      </w:r>
      <w:r w:rsidR="004A477A">
        <w:t xml:space="preserve"> + O</w:t>
      </w:r>
      <w:r w:rsidR="004A477A" w:rsidRPr="004A477A">
        <w:rPr>
          <w:vertAlign w:val="subscript"/>
        </w:rPr>
        <w:t>2</w:t>
      </w:r>
      <w:r w:rsidR="004A477A">
        <w:t xml:space="preserve"> </w:t>
      </w:r>
      <w:r w:rsidR="004A477A">
        <w:sym w:font="Wingdings" w:char="F0E0"/>
      </w:r>
      <w:r w:rsidR="004A477A">
        <w:t xml:space="preserve"> </w:t>
      </w:r>
      <w:r w:rsidR="001E3637">
        <w:t xml:space="preserve">2 </w:t>
      </w:r>
      <w:r w:rsidR="004A477A">
        <w:t>H</w:t>
      </w:r>
      <w:r w:rsidR="004A477A" w:rsidRPr="004A477A">
        <w:rPr>
          <w:vertAlign w:val="subscript"/>
        </w:rPr>
        <w:t>2</w:t>
      </w:r>
      <w:r w:rsidR="004A477A">
        <w:t>O</w:t>
      </w:r>
    </w:p>
    <w:p w:rsidR="00B65EAB" w:rsidRDefault="00B65EAB" w:rsidP="004A477A"/>
    <w:p w:rsidR="004A477A" w:rsidRDefault="004A477A" w:rsidP="004A477A">
      <w:r>
        <w:t>Experimentelle Beobachtungen zeigen aber, dass bei vielen chemischen Reaktionen nicht nur Produkte aus den Edukten gebildet werden, sondern dass die Produkte wieder in Edukte zerfallen können, oder kurz:</w:t>
      </w:r>
    </w:p>
    <w:p w:rsidR="004A477A" w:rsidRPr="00E20C9F" w:rsidRDefault="004A477A" w:rsidP="004A477A">
      <w:pPr>
        <w:rPr>
          <w:bCs/>
        </w:rPr>
      </w:pPr>
    </w:p>
    <w:p w:rsidR="004A477A" w:rsidRDefault="004A477A" w:rsidP="004A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bCs/>
        </w:rPr>
      </w:pPr>
      <w:r>
        <w:rPr>
          <w:b/>
          <w:bCs/>
        </w:rPr>
        <w:t>Chemische Reaktionen verlaufen nicht nur in eine Richtung, sie sind umkehrbar!</w:t>
      </w:r>
    </w:p>
    <w:p w:rsidR="004A477A" w:rsidRDefault="004A477A" w:rsidP="004A477A"/>
    <w:p w:rsidR="004A477A" w:rsidRDefault="004A477A" w:rsidP="004A477A">
      <w:r>
        <w:t xml:space="preserve">Bei einem solchen umkehrbaren Vorgang werden zwei Reaktionspfeile gezeichnet, einer für die Hin- und einer für die Rückreaktion  </w:t>
      </w:r>
    </w:p>
    <w:p w:rsidR="004A477A" w:rsidRDefault="004A477A" w:rsidP="004A477A"/>
    <w:p w:rsidR="004A477A" w:rsidRDefault="00B65EAB" w:rsidP="004A477A">
      <w:r>
        <w:tab/>
      </w:r>
      <w:r w:rsidR="001E3637">
        <w:t xml:space="preserve">2 </w:t>
      </w:r>
      <w:r w:rsidR="004A477A">
        <w:t>H</w:t>
      </w:r>
      <w:r w:rsidR="004A477A" w:rsidRPr="004A477A">
        <w:rPr>
          <w:vertAlign w:val="subscript"/>
        </w:rPr>
        <w:t>2</w:t>
      </w:r>
      <w:r w:rsidR="004A477A">
        <w:t xml:space="preserve"> + O</w:t>
      </w:r>
      <w:r w:rsidR="004A477A" w:rsidRPr="004A477A">
        <w:rPr>
          <w:vertAlign w:val="subscript"/>
        </w:rPr>
        <w:t>2</w:t>
      </w:r>
      <w:r w:rsidR="004A477A">
        <w:t xml:space="preserve"> </w:t>
      </w:r>
      <w:r w:rsidR="004A477A">
        <w:rPr>
          <w:rFonts w:ascii="Royal Society of Chemistry" w:hAnsi="Royal Society of Chemistry"/>
        </w:rPr>
        <w:t>Ý</w:t>
      </w:r>
      <w:r w:rsidR="004A477A">
        <w:t xml:space="preserve"> </w:t>
      </w:r>
      <w:r w:rsidR="001E3637">
        <w:t xml:space="preserve">2 </w:t>
      </w:r>
      <w:r w:rsidR="004A477A">
        <w:t>H</w:t>
      </w:r>
      <w:r w:rsidR="004A477A" w:rsidRPr="004A477A">
        <w:rPr>
          <w:vertAlign w:val="subscript"/>
        </w:rPr>
        <w:t>2</w:t>
      </w:r>
      <w:r w:rsidR="004A477A">
        <w:t>O</w:t>
      </w:r>
    </w:p>
    <w:p w:rsidR="004A477A" w:rsidRDefault="004A477A" w:rsidP="004A477A"/>
    <w:p w:rsidR="004A477A" w:rsidRDefault="001344AE" w:rsidP="004A477A">
      <w:r>
        <w:rPr>
          <w:noProof/>
          <w:lang w:val="de-CH"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113030</wp:posOffset>
            </wp:positionV>
            <wp:extent cx="1188720" cy="1094105"/>
            <wp:effectExtent l="19050" t="0" r="0" b="0"/>
            <wp:wrapSquare wrapText="bothSides"/>
            <wp:docPr id="1449" name="Bild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15F" w:rsidRDefault="00B8379E" w:rsidP="00B5315F">
      <w:r>
        <w:t xml:space="preserve">Im folgenden wird das dynamische Gleichgewicht simuliert, </w:t>
      </w:r>
      <w:r w:rsidR="001344AE">
        <w:t xml:space="preserve">somit muss aber kurz definiert werden, was denn das statische Gleichgewicht überhaupt ist: </w:t>
      </w:r>
      <w:r w:rsidR="00B5315F">
        <w:t>Das klassische statische Gleichgewicht liegt bei einer Balkenwaage vor. Zwischen den Schalen findet kein Austausch von Teilchen statt.</w:t>
      </w:r>
      <w:r w:rsidR="001344AE" w:rsidRPr="001344AE">
        <w:rPr>
          <w:noProof/>
          <w:lang w:val="de-CH" w:eastAsia="de-CH"/>
        </w:rPr>
        <w:t xml:space="preserve"> </w:t>
      </w:r>
    </w:p>
    <w:p w:rsidR="001344AE" w:rsidRDefault="001344AE" w:rsidP="00B5315F"/>
    <w:p w:rsidR="00DD028C" w:rsidRDefault="00DD028C" w:rsidP="00B5315F"/>
    <w:p w:rsidR="00DD028C" w:rsidRDefault="00DD028C" w:rsidP="00B5315F"/>
    <w:p w:rsidR="00DD028C" w:rsidRDefault="00DD028C" w:rsidP="00B5315F">
      <w:r>
        <w:t>Experiment:</w:t>
      </w:r>
    </w:p>
    <w:p w:rsidR="00027E81" w:rsidRDefault="00027E81" w:rsidP="00B5315F"/>
    <w:p w:rsidR="00192849" w:rsidRDefault="00150397" w:rsidP="00192849">
      <w:r>
        <w:rPr>
          <w:noProof/>
          <w:lang w:val="de-CH" w:eastAsia="de-CH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96520</wp:posOffset>
            </wp:positionV>
            <wp:extent cx="3310890" cy="2186940"/>
            <wp:effectExtent l="19050" t="0" r="3810" b="0"/>
            <wp:wrapTight wrapText="bothSides">
              <wp:wrapPolygon edited="0">
                <wp:start x="-124" y="0"/>
                <wp:lineTo x="-124" y="21449"/>
                <wp:lineTo x="21625" y="21449"/>
                <wp:lineTo x="21625" y="0"/>
                <wp:lineTo x="-124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849">
        <w:t>Die Messzylinder A und B werden mit Wasser gefüllt</w:t>
      </w:r>
      <w:r w:rsidR="0040101E">
        <w:t xml:space="preserve">. Mit </w:t>
      </w:r>
      <w:r w:rsidR="00F00907">
        <w:t xml:space="preserve">zwei </w:t>
      </w:r>
      <w:r w:rsidR="0040101E">
        <w:t xml:space="preserve">Glasrohren (oder auch Strohhalmen) </w:t>
      </w:r>
      <w:r w:rsidR="00192849">
        <w:t xml:space="preserve">wird eine dem Wasserstand entsprechende Flüssigkeitssäule in den Zylinder B übertragen, gleichzeitig wird analog dazu mit Hilfe des </w:t>
      </w:r>
      <w:r w:rsidR="0040101E">
        <w:t>anderen</w:t>
      </w:r>
      <w:r w:rsidR="00192849">
        <w:t xml:space="preserve"> Glasrohres eine entsprechende Wassermenge zurück nach A übertragen. Das wird so lange wiederholt, bis der jeweilige Wasserstand der beiden Messzylinder konstant bleibt. </w:t>
      </w:r>
    </w:p>
    <w:p w:rsidR="00F00907" w:rsidRDefault="00192849" w:rsidP="00192849">
      <w:r>
        <w:t>Die Wasservolumina</w:t>
      </w:r>
      <w:r w:rsidR="00F00907">
        <w:t xml:space="preserve"> der beiden Messzylinder sowie</w:t>
      </w:r>
      <w:r>
        <w:t xml:space="preserve"> </w:t>
      </w:r>
      <w:r w:rsidR="00F00907">
        <w:t>die in den Glasrohren übertragene Wassermenge wird nach jedem Schritt notiert und schlussendlich in eine Graphik übertragen.</w:t>
      </w:r>
    </w:p>
    <w:p w:rsidR="00192849" w:rsidRDefault="00192849"/>
    <w:p w:rsidR="00192849" w:rsidRDefault="00192849"/>
    <w:p w:rsidR="00366BE7" w:rsidRDefault="00366BE7"/>
    <w:p w:rsidR="00892165" w:rsidRDefault="00521E43">
      <w:r>
        <w:t xml:space="preserve">Durchführung: </w:t>
      </w:r>
    </w:p>
    <w:p w:rsidR="00521E43" w:rsidRDefault="00704E56">
      <w:r>
        <w:t xml:space="preserve">- </w:t>
      </w:r>
      <w:r w:rsidR="00521E43">
        <w:t>In einem Vorexperiment werden die Glasrohre geeicht, so dass die übertragene Wassermenge leicht abgelesen werden kann.</w:t>
      </w:r>
    </w:p>
    <w:p w:rsidR="00366BE7" w:rsidRDefault="00704E56">
      <w:r>
        <w:t xml:space="preserve">- </w:t>
      </w:r>
      <w:r w:rsidR="00716F5F">
        <w:t>4</w:t>
      </w:r>
      <w:r w:rsidR="009A0688">
        <w:t xml:space="preserve"> Durchgänge machen: </w:t>
      </w:r>
      <w:r w:rsidR="00716F5F">
        <w:t xml:space="preserve">Startvolumen </w:t>
      </w:r>
      <w:r w:rsidR="009A0688">
        <w:t xml:space="preserve">A 0 ml, B 50 ml / A 10 ml, B 40 ml / A 25 ml B 25 ml </w:t>
      </w:r>
      <w:r w:rsidR="00716F5F">
        <w:t>/ A 50 ml, B 0 ml</w:t>
      </w:r>
    </w:p>
    <w:p w:rsidR="00192849" w:rsidRDefault="00704E56">
      <w:r>
        <w:t>- Werte in Graphik übertragen</w:t>
      </w:r>
    </w:p>
    <w:p w:rsidR="00716F5F" w:rsidRDefault="00716F5F">
      <w:r>
        <w:t>- Fragen beantworten</w:t>
      </w:r>
    </w:p>
    <w:p w:rsidR="00716F5F" w:rsidRDefault="00716F5F">
      <w:pPr>
        <w:spacing w:after="200"/>
        <w:jc w:val="left"/>
      </w:pPr>
      <w:r>
        <w:br w:type="page"/>
      </w:r>
    </w:p>
    <w:p w:rsidR="0071240B" w:rsidRDefault="0071240B"/>
    <w:p w:rsidR="00B809C5" w:rsidRDefault="00B809C5"/>
    <w:p w:rsidR="0071240B" w:rsidRDefault="0071240B" w:rsidP="00716F5F">
      <w:r w:rsidRPr="00716F5F">
        <w:t>Tabelle</w:t>
      </w:r>
      <w:r w:rsidR="00DF0F24">
        <w:t xml:space="preserve"> 1, Start mit A 0 ml, B 50 ml</w:t>
      </w:r>
    </w:p>
    <w:p w:rsidR="00DF0F24" w:rsidRPr="00716F5F" w:rsidRDefault="00DF0F24" w:rsidP="00716F5F"/>
    <w:tbl>
      <w:tblPr>
        <w:tblStyle w:val="Tabellengitternetz"/>
        <w:tblW w:w="8472" w:type="dxa"/>
        <w:tblLook w:val="04A0"/>
      </w:tblPr>
      <w:tblGrid>
        <w:gridCol w:w="906"/>
        <w:gridCol w:w="3030"/>
        <w:gridCol w:w="801"/>
        <w:gridCol w:w="3735"/>
      </w:tblGrid>
      <w:tr w:rsidR="00553833" w:rsidTr="00553833">
        <w:trPr>
          <w:trHeight w:val="438"/>
        </w:trPr>
        <w:tc>
          <w:tcPr>
            <w:tcW w:w="906" w:type="dxa"/>
          </w:tcPr>
          <w:p w:rsidR="00553833" w:rsidRPr="00393EB0" w:rsidRDefault="00553833" w:rsidP="00772918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553833" w:rsidRPr="00393EB0" w:rsidRDefault="00553833" w:rsidP="005538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  <w:tc>
          <w:tcPr>
            <w:tcW w:w="801" w:type="dxa"/>
          </w:tcPr>
          <w:p w:rsidR="00553833" w:rsidRPr="00393EB0" w:rsidRDefault="00553833" w:rsidP="00772918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735" w:type="dxa"/>
          </w:tcPr>
          <w:p w:rsidR="00553833" w:rsidRDefault="00553833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553833" w:rsidRPr="00393EB0" w:rsidRDefault="00553833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43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  <w:tr w:rsidR="00553833" w:rsidTr="00553833">
        <w:trPr>
          <w:trHeight w:val="266"/>
        </w:trPr>
        <w:tc>
          <w:tcPr>
            <w:tcW w:w="906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030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3735" w:type="dxa"/>
          </w:tcPr>
          <w:p w:rsidR="00553833" w:rsidRDefault="00553833" w:rsidP="0077291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04E56" w:rsidRPr="00716F5F" w:rsidRDefault="00704E56" w:rsidP="00716F5F"/>
    <w:p w:rsidR="00704E56" w:rsidRDefault="00704E56" w:rsidP="00716F5F"/>
    <w:p w:rsidR="00B809C5" w:rsidRDefault="00B809C5" w:rsidP="00716F5F"/>
    <w:p w:rsidR="00716F5F" w:rsidRDefault="00716F5F" w:rsidP="00716F5F"/>
    <w:p w:rsidR="00716F5F" w:rsidRDefault="00716F5F" w:rsidP="00716F5F"/>
    <w:p w:rsidR="00716F5F" w:rsidRDefault="00DF0F24" w:rsidP="00716F5F">
      <w:r>
        <w:t>Tabelle 2 Start mit A 10 ml, B 40 ml</w:t>
      </w:r>
    </w:p>
    <w:p w:rsidR="00704E56" w:rsidRDefault="00704E56" w:rsidP="00716F5F"/>
    <w:tbl>
      <w:tblPr>
        <w:tblStyle w:val="Tabellengitternetz"/>
        <w:tblW w:w="8472" w:type="dxa"/>
        <w:tblLook w:val="04A0"/>
      </w:tblPr>
      <w:tblGrid>
        <w:gridCol w:w="906"/>
        <w:gridCol w:w="3030"/>
        <w:gridCol w:w="801"/>
        <w:gridCol w:w="3735"/>
      </w:tblGrid>
      <w:tr w:rsidR="00D9028C" w:rsidTr="00AF2EC9">
        <w:trPr>
          <w:trHeight w:val="438"/>
        </w:trPr>
        <w:tc>
          <w:tcPr>
            <w:tcW w:w="906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  <w:tc>
          <w:tcPr>
            <w:tcW w:w="801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43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9028C" w:rsidRDefault="00D9028C" w:rsidP="00716F5F"/>
    <w:p w:rsidR="00D9028C" w:rsidRDefault="00D9028C" w:rsidP="00716F5F"/>
    <w:p w:rsidR="00B809C5" w:rsidRDefault="00B809C5">
      <w:pPr>
        <w:spacing w:after="200"/>
        <w:jc w:val="left"/>
      </w:pPr>
      <w:r>
        <w:br w:type="page"/>
      </w:r>
    </w:p>
    <w:p w:rsidR="00716F5F" w:rsidRDefault="00B809C5" w:rsidP="00716F5F">
      <w:r>
        <w:lastRenderedPageBreak/>
        <w:t>Tabelle 3, Start mit A 25 ml B 25 ml</w:t>
      </w:r>
    </w:p>
    <w:p w:rsidR="00716F5F" w:rsidRDefault="00716F5F" w:rsidP="00716F5F"/>
    <w:tbl>
      <w:tblPr>
        <w:tblStyle w:val="Tabellengitternetz"/>
        <w:tblW w:w="8472" w:type="dxa"/>
        <w:tblLook w:val="04A0"/>
      </w:tblPr>
      <w:tblGrid>
        <w:gridCol w:w="906"/>
        <w:gridCol w:w="3030"/>
        <w:gridCol w:w="801"/>
        <w:gridCol w:w="3735"/>
      </w:tblGrid>
      <w:tr w:rsidR="00D9028C" w:rsidTr="00AF2EC9">
        <w:trPr>
          <w:trHeight w:val="438"/>
        </w:trPr>
        <w:tc>
          <w:tcPr>
            <w:tcW w:w="906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  <w:tc>
          <w:tcPr>
            <w:tcW w:w="801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43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9028C" w:rsidRDefault="00D9028C" w:rsidP="00716F5F"/>
    <w:p w:rsidR="00B809C5" w:rsidRDefault="00B809C5" w:rsidP="00716F5F"/>
    <w:p w:rsidR="00B809C5" w:rsidRDefault="00B809C5" w:rsidP="00716F5F"/>
    <w:p w:rsidR="00716F5F" w:rsidRDefault="00B809C5" w:rsidP="00716F5F">
      <w:r>
        <w:t>Tabelle 4, Start mit A 50 ml, B 0 ml</w:t>
      </w:r>
    </w:p>
    <w:p w:rsidR="00327F06" w:rsidRDefault="00327F06" w:rsidP="00716F5F"/>
    <w:tbl>
      <w:tblPr>
        <w:tblStyle w:val="Tabellengitternetz"/>
        <w:tblW w:w="8472" w:type="dxa"/>
        <w:tblLook w:val="04A0"/>
      </w:tblPr>
      <w:tblGrid>
        <w:gridCol w:w="906"/>
        <w:gridCol w:w="3030"/>
        <w:gridCol w:w="801"/>
        <w:gridCol w:w="3735"/>
      </w:tblGrid>
      <w:tr w:rsidR="00D9028C" w:rsidTr="00AF2EC9">
        <w:trPr>
          <w:trHeight w:val="438"/>
        </w:trPr>
        <w:tc>
          <w:tcPr>
            <w:tcW w:w="906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  <w:tc>
          <w:tcPr>
            <w:tcW w:w="801" w:type="dxa"/>
          </w:tcPr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Messung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 w:rsidRPr="00393EB0">
              <w:rPr>
                <w:rFonts w:asciiTheme="minorHAnsi" w:hAnsiTheme="minorHAnsi"/>
                <w:sz w:val="16"/>
                <w:szCs w:val="16"/>
              </w:rPr>
              <w:t>Wasserstand</w:t>
            </w:r>
          </w:p>
          <w:p w:rsidR="00D9028C" w:rsidRPr="00393EB0" w:rsidRDefault="00D9028C" w:rsidP="00AF2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(ml)    B (ml)</w:t>
            </w: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43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  <w:tr w:rsidR="00D9028C" w:rsidTr="00AF2EC9">
        <w:trPr>
          <w:trHeight w:val="266"/>
        </w:trPr>
        <w:tc>
          <w:tcPr>
            <w:tcW w:w="906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030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01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3735" w:type="dxa"/>
          </w:tcPr>
          <w:p w:rsidR="00D9028C" w:rsidRDefault="00D9028C" w:rsidP="00AF2EC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9028C" w:rsidRDefault="00D9028C" w:rsidP="00716F5F"/>
    <w:p w:rsidR="005E58DC" w:rsidRDefault="005E58DC">
      <w:pPr>
        <w:spacing w:after="200"/>
        <w:jc w:val="left"/>
      </w:pPr>
      <w:r>
        <w:br w:type="page"/>
      </w:r>
    </w:p>
    <w:p w:rsidR="0071240B" w:rsidRDefault="0071240B" w:rsidP="0071240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Wasserstand in ml</w:t>
      </w:r>
      <w:r w:rsidR="00F81E88">
        <w:rPr>
          <w:rFonts w:asciiTheme="minorHAnsi" w:hAnsiTheme="minorHAnsi"/>
          <w:sz w:val="20"/>
        </w:rPr>
        <w:tab/>
      </w:r>
      <w:r w:rsidR="00F81E88">
        <w:rPr>
          <w:rFonts w:asciiTheme="minorHAnsi" w:hAnsiTheme="minorHAnsi"/>
          <w:sz w:val="20"/>
        </w:rPr>
        <w:tab/>
      </w:r>
      <w:r w:rsidR="00F81E88">
        <w:rPr>
          <w:rFonts w:asciiTheme="minorHAnsi" w:hAnsiTheme="minorHAnsi"/>
          <w:sz w:val="20"/>
        </w:rPr>
        <w:tab/>
      </w:r>
      <w:r w:rsidR="00F81E88">
        <w:rPr>
          <w:rFonts w:asciiTheme="minorHAnsi" w:hAnsiTheme="minorHAnsi"/>
          <w:sz w:val="20"/>
        </w:rPr>
        <w:tab/>
      </w:r>
      <w:r w:rsidR="00F81E88">
        <w:rPr>
          <w:rFonts w:asciiTheme="minorHAnsi" w:hAnsiTheme="minorHAnsi"/>
          <w:sz w:val="20"/>
        </w:rPr>
        <w:tab/>
      </w:r>
      <w:r w:rsidR="00F81E88">
        <w:rPr>
          <w:rFonts w:asciiTheme="minorHAnsi" w:hAnsiTheme="minorHAnsi"/>
          <w:sz w:val="20"/>
        </w:rPr>
        <w:tab/>
        <w:t>in Glasrohren übertragene Volumina</w:t>
      </w:r>
    </w:p>
    <w:p w:rsidR="009A1E61" w:rsidRDefault="009A1E61" w:rsidP="0071240B"/>
    <w:p w:rsidR="009A1E61" w:rsidRDefault="009A1E61" w:rsidP="0071240B"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241377</wp:posOffset>
            </wp:positionH>
            <wp:positionV relativeFrom="paragraph">
              <wp:posOffset>1754</wp:posOffset>
            </wp:positionV>
            <wp:extent cx="3972154" cy="2204928"/>
            <wp:effectExtent l="0" t="0" r="0" b="0"/>
            <wp:wrapNone/>
            <wp:docPr id="124" name="Objekt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A1E61" w:rsidRDefault="009A1E61" w:rsidP="0071240B"/>
    <w:p w:rsidR="009A1E61" w:rsidRDefault="009A1E61" w:rsidP="0071240B"/>
    <w:p w:rsidR="009A1E61" w:rsidRDefault="009A1E61" w:rsidP="0071240B"/>
    <w:p w:rsidR="009A1E61" w:rsidRDefault="008E12DB" w:rsidP="0071240B">
      <w:r w:rsidRPr="008E12DB">
        <w:rPr>
          <w:rFonts w:asciiTheme="minorHAnsi" w:hAnsiTheme="minorHAns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0.75pt;margin-top:1.15pt;width:115.25pt;height:31.1pt;z-index:251678720;mso-width-relative:margin;mso-height-relative:margin" strokecolor="white [3212]">
            <v:textbox>
              <w:txbxContent>
                <w:p w:rsidR="008B64C6" w:rsidRDefault="008B64C6">
                  <w:r>
                    <w:t>Tabelle 1</w:t>
                  </w:r>
                </w:p>
              </w:txbxContent>
            </v:textbox>
          </v:shape>
        </w:pict>
      </w:r>
    </w:p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8E12DB" w:rsidP="0071240B">
      <w:r w:rsidRPr="008E12DB">
        <w:rPr>
          <w:rFonts w:asciiTheme="minorHAnsi" w:hAnsiTheme="minorHAnsi"/>
          <w:noProof/>
          <w:sz w:val="20"/>
        </w:rPr>
        <w:pict>
          <v:shape id="_x0000_s1026" type="#_x0000_t202" style="position:absolute;left:0;text-align:left;margin-left:257.45pt;margin-top:11.65pt;width:225pt;height:27pt;z-index:251662336" filled="f" stroked="f">
            <v:textbox style="mso-next-textbox:#_x0000_s1026">
              <w:txbxContent>
                <w:p w:rsidR="0071240B" w:rsidRPr="00967B0C" w:rsidRDefault="0071240B" w:rsidP="0071240B">
                  <w:pPr>
                    <w:rPr>
                      <w:rFonts w:ascii="ETH Light" w:hAnsi="ETH Light"/>
                      <w:sz w:val="20"/>
                    </w:rPr>
                  </w:pPr>
                  <w:r w:rsidRPr="00967B0C">
                    <w:rPr>
                      <w:rFonts w:ascii="ETH Light" w:hAnsi="ETH Light"/>
                      <w:sz w:val="20"/>
                    </w:rPr>
                    <w:t>Anzahl der Hin- und Rücktransporte</w:t>
                  </w:r>
                </w:p>
              </w:txbxContent>
            </v:textbox>
          </v:shape>
        </w:pict>
      </w:r>
    </w:p>
    <w:p w:rsidR="009A1E61" w:rsidRDefault="009A1E61" w:rsidP="0071240B"/>
    <w:p w:rsidR="009A1E61" w:rsidRDefault="002049E7" w:rsidP="0071240B">
      <w:r>
        <w:rPr>
          <w:noProof/>
          <w:lang w:val="de-CH" w:eastAsia="de-C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241376</wp:posOffset>
            </wp:positionH>
            <wp:positionV relativeFrom="paragraph">
              <wp:posOffset>12268</wp:posOffset>
            </wp:positionV>
            <wp:extent cx="3972154" cy="2201875"/>
            <wp:effectExtent l="0" t="0" r="0" b="0"/>
            <wp:wrapNone/>
            <wp:docPr id="2" name="Objekt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A1E61" w:rsidRDefault="009A1E61" w:rsidP="0071240B"/>
    <w:p w:rsidR="009A1E61" w:rsidRDefault="009A1E61" w:rsidP="0071240B"/>
    <w:p w:rsidR="009A1E61" w:rsidRDefault="009A1E61" w:rsidP="0071240B"/>
    <w:p w:rsidR="009A1E61" w:rsidRDefault="008E12DB" w:rsidP="0071240B">
      <w:r>
        <w:rPr>
          <w:noProof/>
          <w:lang w:val="de-CH" w:eastAsia="de-CH"/>
        </w:rPr>
        <w:pict>
          <v:shape id="_x0000_s1032" type="#_x0000_t202" style="position:absolute;left:0;text-align:left;margin-left:350.75pt;margin-top:9.4pt;width:115.25pt;height:31.1pt;z-index:251679744;mso-width-relative:margin;mso-height-relative:margin" strokecolor="white [3212]">
            <v:textbox>
              <w:txbxContent>
                <w:p w:rsidR="008B64C6" w:rsidRDefault="008B64C6" w:rsidP="008B64C6">
                  <w:r>
                    <w:t>Tabelle 2</w:t>
                  </w:r>
                </w:p>
              </w:txbxContent>
            </v:textbox>
          </v:shape>
        </w:pict>
      </w:r>
    </w:p>
    <w:p w:rsidR="009A1E61" w:rsidRDefault="009A1E61" w:rsidP="0071240B"/>
    <w:p w:rsidR="009A1E61" w:rsidRDefault="009A1E61" w:rsidP="0071240B"/>
    <w:p w:rsidR="009A1E61" w:rsidRDefault="009A1E61" w:rsidP="0071240B"/>
    <w:p w:rsidR="0071240B" w:rsidRDefault="0071240B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9A1E61" w:rsidRDefault="002049E7" w:rsidP="0071240B">
      <w:r>
        <w:rPr>
          <w:noProof/>
          <w:lang w:val="de-CH" w:eastAsia="de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241376</wp:posOffset>
            </wp:positionH>
            <wp:positionV relativeFrom="paragraph">
              <wp:posOffset>143408</wp:posOffset>
            </wp:positionV>
            <wp:extent cx="3972154" cy="2201876"/>
            <wp:effectExtent l="0" t="0" r="0" b="0"/>
            <wp:wrapNone/>
            <wp:docPr id="3" name="Objekt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A1E61" w:rsidRDefault="009A1E61" w:rsidP="0071240B"/>
    <w:p w:rsidR="009A1E61" w:rsidRDefault="009A1E61" w:rsidP="0071240B"/>
    <w:p w:rsidR="009A1E61" w:rsidRDefault="008E12DB" w:rsidP="0071240B">
      <w:r>
        <w:rPr>
          <w:noProof/>
          <w:lang w:val="de-CH" w:eastAsia="de-CH"/>
        </w:rPr>
        <w:pict>
          <v:shape id="_x0000_s1033" type="#_x0000_t202" style="position:absolute;left:0;text-align:left;margin-left:355.3pt;margin-top:7.5pt;width:115.25pt;height:31.1pt;z-index:251680768;mso-width-relative:margin;mso-height-relative:margin" strokecolor="white [3212]">
            <v:textbox>
              <w:txbxContent>
                <w:p w:rsidR="008B64C6" w:rsidRDefault="008B64C6" w:rsidP="008B64C6">
                  <w:r>
                    <w:t>Tabelle 3</w:t>
                  </w:r>
                </w:p>
              </w:txbxContent>
            </v:textbox>
          </v:shape>
        </w:pict>
      </w:r>
    </w:p>
    <w:p w:rsidR="009A1E61" w:rsidRDefault="009A1E61" w:rsidP="0071240B"/>
    <w:p w:rsidR="009A1E61" w:rsidRDefault="009A1E61" w:rsidP="0071240B"/>
    <w:p w:rsidR="009A1E61" w:rsidRDefault="009A1E61" w:rsidP="0071240B"/>
    <w:p w:rsidR="009A1E61" w:rsidRDefault="009A1E61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>
      <w:r>
        <w:rPr>
          <w:noProof/>
          <w:lang w:val="de-CH" w:eastAsia="de-CH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241376</wp:posOffset>
            </wp:positionH>
            <wp:positionV relativeFrom="paragraph">
              <wp:posOffset>27381</wp:posOffset>
            </wp:positionV>
            <wp:extent cx="3972154" cy="2201875"/>
            <wp:effectExtent l="0" t="0" r="0" b="0"/>
            <wp:wrapNone/>
            <wp:docPr id="4" name="Objekt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049E7" w:rsidRDefault="002049E7" w:rsidP="0071240B"/>
    <w:p w:rsidR="002049E7" w:rsidRDefault="002049E7" w:rsidP="0071240B"/>
    <w:p w:rsidR="002049E7" w:rsidRDefault="008E12DB" w:rsidP="0071240B">
      <w:r>
        <w:rPr>
          <w:noProof/>
          <w:lang w:val="de-CH" w:eastAsia="de-CH"/>
        </w:rPr>
        <w:pict>
          <v:shape id="_x0000_s1034" type="#_x0000_t202" style="position:absolute;left:0;text-align:left;margin-left:355.3pt;margin-top:3pt;width:115.25pt;height:31.1pt;z-index:251681792;mso-width-relative:margin;mso-height-relative:margin" strokecolor="white [3212]">
            <v:textbox>
              <w:txbxContent>
                <w:p w:rsidR="008B64C6" w:rsidRDefault="008B64C6" w:rsidP="008B64C6">
                  <w:r>
                    <w:t>Tabelle 4</w:t>
                  </w:r>
                </w:p>
              </w:txbxContent>
            </v:textbox>
          </v:shape>
        </w:pict>
      </w:r>
    </w:p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2049E7" w:rsidP="0071240B"/>
    <w:p w:rsidR="002049E7" w:rsidRDefault="008B64C6" w:rsidP="0071240B">
      <w:r>
        <w:t>Auswertung:</w:t>
      </w:r>
    </w:p>
    <w:p w:rsidR="008B64C6" w:rsidRDefault="008B64C6" w:rsidP="0071240B"/>
    <w:p w:rsidR="008B64C6" w:rsidRDefault="00BC5C9F" w:rsidP="0071240B">
      <w:r>
        <w:t>- Welche Gemeinsamkeiten sind in den 4 Tabellen ersichtlich?</w:t>
      </w:r>
    </w:p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/>
    <w:p w:rsidR="00952223" w:rsidRDefault="00952223" w:rsidP="0071240B">
      <w:r>
        <w:t>- Wie könnte das Gleichgewicht aller 4 verschiedenen Versuche mathematisch umschrieben werden?</w:t>
      </w:r>
    </w:p>
    <w:p w:rsidR="008B64C6" w:rsidRDefault="008B64C6" w:rsidP="0071240B"/>
    <w:p w:rsidR="008B64C6" w:rsidRDefault="008B64C6" w:rsidP="0071240B"/>
    <w:p w:rsidR="008B64C6" w:rsidRDefault="008B64C6" w:rsidP="0071240B"/>
    <w:sectPr w:rsidR="008B64C6" w:rsidSect="009F1B6B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6A" w:rsidRDefault="005C116A" w:rsidP="007A5A84">
      <w:r>
        <w:separator/>
      </w:r>
    </w:p>
  </w:endnote>
  <w:endnote w:type="continuationSeparator" w:id="1">
    <w:p w:rsidR="005C116A" w:rsidRDefault="005C116A" w:rsidP="007A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l Society of Chemistry">
    <w:panose1 w:val="02000503000000020003"/>
    <w:charset w:val="00"/>
    <w:family w:val="auto"/>
    <w:pitch w:val="variable"/>
    <w:sig w:usb0="800002FF" w:usb1="01002078" w:usb2="00000000" w:usb3="00000000" w:csb0="00000001" w:csb1="00000000"/>
  </w:font>
  <w:font w:name="ETH Light">
    <w:altName w:val="Times New Roman"/>
    <w:charset w:val="00"/>
    <w:family w:val="auto"/>
    <w:pitch w:val="variable"/>
    <w:sig w:usb0="800000A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6A" w:rsidRDefault="005C116A" w:rsidP="007A5A84">
      <w:r>
        <w:separator/>
      </w:r>
    </w:p>
  </w:footnote>
  <w:footnote w:type="continuationSeparator" w:id="1">
    <w:p w:rsidR="005C116A" w:rsidRDefault="005C116A" w:rsidP="007A5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756075"/>
      <w:docPartObj>
        <w:docPartGallery w:val="Page Numbers (Top of Page)"/>
        <w:docPartUnique/>
      </w:docPartObj>
    </w:sdtPr>
    <w:sdtContent>
      <w:p w:rsidR="007A5A84" w:rsidRDefault="008E12DB" w:rsidP="007A5A84">
        <w:pPr>
          <w:pStyle w:val="Kopfzeile"/>
          <w:jc w:val="center"/>
        </w:pPr>
        <w:fldSimple w:instr=" PAGE   \* MERGEFORMAT ">
          <w:r w:rsidR="00D9028C">
            <w:rPr>
              <w:noProof/>
            </w:rPr>
            <w:t>5</w:t>
          </w:r>
        </w:fldSimple>
      </w:p>
    </w:sdtContent>
  </w:sdt>
  <w:p w:rsidR="007A5A84" w:rsidRDefault="007A5A8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0AD"/>
    <w:multiLevelType w:val="multilevel"/>
    <w:tmpl w:val="A2C8698E"/>
    <w:lvl w:ilvl="0">
      <w:start w:val="5"/>
      <w:numFmt w:val="decimal"/>
      <w:lvlRestart w:val="0"/>
      <w:pStyle w:val="berschrift1"/>
      <w:isLgl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40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40B"/>
    <w:rsid w:val="00027E81"/>
    <w:rsid w:val="00040669"/>
    <w:rsid w:val="000E2343"/>
    <w:rsid w:val="001344AE"/>
    <w:rsid w:val="00150397"/>
    <w:rsid w:val="00192849"/>
    <w:rsid w:val="0019445F"/>
    <w:rsid w:val="001E3637"/>
    <w:rsid w:val="001F47A9"/>
    <w:rsid w:val="002049E7"/>
    <w:rsid w:val="002224D4"/>
    <w:rsid w:val="002B3336"/>
    <w:rsid w:val="00327F06"/>
    <w:rsid w:val="00366BE7"/>
    <w:rsid w:val="0040101E"/>
    <w:rsid w:val="004A276D"/>
    <w:rsid w:val="004A477A"/>
    <w:rsid w:val="00521E43"/>
    <w:rsid w:val="00553833"/>
    <w:rsid w:val="005C116A"/>
    <w:rsid w:val="005E58DC"/>
    <w:rsid w:val="00682E49"/>
    <w:rsid w:val="006D4518"/>
    <w:rsid w:val="00704E56"/>
    <w:rsid w:val="0071240B"/>
    <w:rsid w:val="00716F5F"/>
    <w:rsid w:val="007A5A84"/>
    <w:rsid w:val="007C5E93"/>
    <w:rsid w:val="007C7169"/>
    <w:rsid w:val="00886154"/>
    <w:rsid w:val="00892165"/>
    <w:rsid w:val="008B2F54"/>
    <w:rsid w:val="008B64C6"/>
    <w:rsid w:val="008C0E0B"/>
    <w:rsid w:val="008C4E95"/>
    <w:rsid w:val="008E12DB"/>
    <w:rsid w:val="00933115"/>
    <w:rsid w:val="00952223"/>
    <w:rsid w:val="00957A0E"/>
    <w:rsid w:val="009A0688"/>
    <w:rsid w:val="009A1E61"/>
    <w:rsid w:val="009F1B6B"/>
    <w:rsid w:val="00A168EB"/>
    <w:rsid w:val="00B12AF3"/>
    <w:rsid w:val="00B25847"/>
    <w:rsid w:val="00B5315F"/>
    <w:rsid w:val="00B65EAB"/>
    <w:rsid w:val="00B809C5"/>
    <w:rsid w:val="00B8379E"/>
    <w:rsid w:val="00BC5C9F"/>
    <w:rsid w:val="00BF4DE7"/>
    <w:rsid w:val="00D6289C"/>
    <w:rsid w:val="00D9028C"/>
    <w:rsid w:val="00DD028C"/>
    <w:rsid w:val="00DF0F24"/>
    <w:rsid w:val="00F00907"/>
    <w:rsid w:val="00F3200D"/>
    <w:rsid w:val="00F81E88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40B"/>
    <w:pPr>
      <w:spacing w:after="0"/>
      <w:jc w:val="both"/>
    </w:pPr>
    <w:rPr>
      <w:rFonts w:ascii="Comic Sans MS" w:eastAsia="Times New Roman" w:hAnsi="Comic Sans MS" w:cs="Times New Roman"/>
      <w:sz w:val="18"/>
      <w:szCs w:val="20"/>
      <w:lang w:val="de-DE" w:eastAsia="de-DE"/>
    </w:rPr>
  </w:style>
  <w:style w:type="paragraph" w:styleId="berschrift1">
    <w:name w:val="heading 1"/>
    <w:basedOn w:val="Standard"/>
    <w:next w:val="berschrift2"/>
    <w:link w:val="berschrift1Zchn"/>
    <w:qFormat/>
    <w:rsid w:val="0071240B"/>
    <w:pPr>
      <w:keepNext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berschrift3"/>
    <w:link w:val="berschrift2Zchn"/>
    <w:qFormat/>
    <w:rsid w:val="0071240B"/>
    <w:pPr>
      <w:keepNext/>
      <w:numPr>
        <w:ilvl w:val="1"/>
        <w:numId w:val="1"/>
      </w:numPr>
      <w:spacing w:before="120" w:after="60"/>
      <w:jc w:val="left"/>
      <w:outlineLvl w:val="1"/>
    </w:pPr>
    <w:rPr>
      <w:b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71240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71240B"/>
    <w:pPr>
      <w:keepNext/>
      <w:numPr>
        <w:ilvl w:val="3"/>
        <w:numId w:val="1"/>
      </w:numPr>
      <w:spacing w:before="240" w:after="60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71240B"/>
    <w:pPr>
      <w:numPr>
        <w:ilvl w:val="4"/>
        <w:numId w:val="1"/>
      </w:numPr>
      <w:spacing w:before="240" w:after="60"/>
      <w:jc w:val="left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71240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1240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71240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71240B"/>
    <w:pPr>
      <w:numPr>
        <w:ilvl w:val="8"/>
        <w:numId w:val="1"/>
      </w:numPr>
      <w:spacing w:line="276" w:lineRule="auto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240B"/>
    <w:rPr>
      <w:rFonts w:ascii="Comic Sans MS" w:eastAsia="Times New Roman" w:hAnsi="Comic Sans MS" w:cs="Times New Roman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71240B"/>
    <w:rPr>
      <w:rFonts w:ascii="Comic Sans MS" w:eastAsia="Times New Roman" w:hAnsi="Comic Sans MS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1240B"/>
    <w:rPr>
      <w:rFonts w:ascii="Comic Sans MS" w:eastAsia="Times New Roman" w:hAnsi="Comic Sans MS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71240B"/>
    <w:rPr>
      <w:rFonts w:ascii="Comic Sans MS" w:eastAsia="Times New Roman" w:hAnsi="Comic Sans MS" w:cs="Times New Roman"/>
      <w:b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71240B"/>
    <w:rPr>
      <w:rFonts w:ascii="Comic Sans MS" w:eastAsia="Times New Roman" w:hAnsi="Comic Sans MS" w:cs="Times New Roman"/>
      <w:b/>
      <w:bCs/>
      <w:sz w:val="18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71240B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1240B"/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1240B"/>
    <w:rPr>
      <w:rFonts w:ascii="Arial" w:eastAsia="Times New Roman" w:hAnsi="Arial" w:cs="Times New Roman"/>
      <w:i/>
      <w:sz w:val="18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71240B"/>
    <w:rPr>
      <w:rFonts w:ascii="Comic Sans MS" w:eastAsia="Times New Roman" w:hAnsi="Comic Sans MS" w:cs="Times New Roman"/>
      <w:sz w:val="18"/>
      <w:szCs w:val="20"/>
      <w:lang w:val="de-DE" w:eastAsia="de-DE"/>
    </w:rPr>
  </w:style>
  <w:style w:type="table" w:styleId="Tabellengitternetz">
    <w:name w:val="Table Grid"/>
    <w:basedOn w:val="NormaleTabelle"/>
    <w:uiPriority w:val="59"/>
    <w:rsid w:val="0071240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320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51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A5A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5A84"/>
    <w:rPr>
      <w:rFonts w:ascii="Comic Sans MS" w:eastAsia="Times New Roman" w:hAnsi="Comic Sans MS" w:cs="Times New Roman"/>
      <w:sz w:val="18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7A5A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5A84"/>
    <w:rPr>
      <w:rFonts w:ascii="Comic Sans MS" w:eastAsia="Times New Roman" w:hAnsi="Comic Sans MS" w:cs="Times New Roman"/>
      <w:sz w:val="18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CH"/>
  <c:chart>
    <c:plotArea>
      <c:layout>
        <c:manualLayout>
          <c:layoutTarget val="inner"/>
          <c:xMode val="edge"/>
          <c:yMode val="edge"/>
          <c:x val="6.6193386521282413E-2"/>
          <c:y val="5.7971083355959817E-2"/>
          <c:w val="0.90706319702602156"/>
          <c:h val="0.8347826086956521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Tabelle1!$A$1:$A$2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Tabelle1!$B$1:$B$2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yVal>
        </c:ser>
        <c:axId val="124147200"/>
        <c:axId val="142523392"/>
      </c:scatterChart>
      <c:valAx>
        <c:axId val="124147200"/>
        <c:scaling>
          <c:orientation val="minMax"/>
          <c:max val="30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42523392"/>
        <c:crosses val="autoZero"/>
        <c:crossBetween val="midCat"/>
        <c:majorUnit val="2"/>
      </c:valAx>
      <c:valAx>
        <c:axId val="142523392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24147200"/>
        <c:crosses val="autoZero"/>
        <c:crossBetween val="midCat"/>
        <c:maj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CH"/>
  <c:chart>
    <c:plotArea>
      <c:layout>
        <c:manualLayout>
          <c:layoutTarget val="inner"/>
          <c:xMode val="edge"/>
          <c:yMode val="edge"/>
          <c:x val="6.6193386521282413E-2"/>
          <c:y val="5.7971083355959817E-2"/>
          <c:w val="0.90706319702602156"/>
          <c:h val="0.8347826086956521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'Tabelle1'!$A$1:$A$2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'Tabelle1'!$B$1:$B$2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yVal>
        </c:ser>
        <c:axId val="194064768"/>
        <c:axId val="194708608"/>
      </c:scatterChart>
      <c:valAx>
        <c:axId val="194064768"/>
        <c:scaling>
          <c:orientation val="minMax"/>
          <c:max val="30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94708608"/>
        <c:crosses val="autoZero"/>
        <c:crossBetween val="midCat"/>
        <c:majorUnit val="2"/>
      </c:valAx>
      <c:valAx>
        <c:axId val="194708608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94064768"/>
        <c:crosses val="autoZero"/>
        <c:crossBetween val="midCat"/>
        <c:maj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CH"/>
  <c:chart>
    <c:plotArea>
      <c:layout>
        <c:manualLayout>
          <c:layoutTarget val="inner"/>
          <c:xMode val="edge"/>
          <c:yMode val="edge"/>
          <c:x val="6.6193386521282413E-2"/>
          <c:y val="5.7971083355959817E-2"/>
          <c:w val="0.90706319702602156"/>
          <c:h val="0.8347826086956521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'Tabelle1'!$A$1:$A$2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'Tabelle1'!$B$1:$B$2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yVal>
        </c:ser>
        <c:axId val="202193920"/>
        <c:axId val="202204288"/>
      </c:scatterChart>
      <c:valAx>
        <c:axId val="202193920"/>
        <c:scaling>
          <c:orientation val="minMax"/>
          <c:max val="30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2204288"/>
        <c:crosses val="autoZero"/>
        <c:crossBetween val="midCat"/>
        <c:majorUnit val="2"/>
      </c:valAx>
      <c:valAx>
        <c:axId val="202204288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2193920"/>
        <c:crosses val="autoZero"/>
        <c:crossBetween val="midCat"/>
        <c:maj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CH"/>
  <c:chart>
    <c:plotArea>
      <c:layout>
        <c:manualLayout>
          <c:layoutTarget val="inner"/>
          <c:xMode val="edge"/>
          <c:yMode val="edge"/>
          <c:x val="6.6193386521282413E-2"/>
          <c:y val="5.7971083355959817E-2"/>
          <c:w val="0.90706319702602156"/>
          <c:h val="0.8347826086956521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'Tabelle1'!$A$1:$A$2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'Tabelle1'!$B$1:$B$2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yVal>
        </c:ser>
        <c:axId val="205894400"/>
        <c:axId val="205896704"/>
      </c:scatterChart>
      <c:valAx>
        <c:axId val="205894400"/>
        <c:scaling>
          <c:orientation val="minMax"/>
          <c:max val="30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5896704"/>
        <c:crosses val="autoZero"/>
        <c:crossBetween val="midCat"/>
        <c:majorUnit val="2"/>
      </c:valAx>
      <c:valAx>
        <c:axId val="205896704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5894400"/>
        <c:crosses val="autoZero"/>
        <c:crossBetween val="midCat"/>
        <c:maj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C6BC-C75B-486E-88ED-EDA546FC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quigli</dc:creator>
  <cp:lastModifiedBy>putiputer_rs</cp:lastModifiedBy>
  <cp:revision>44</cp:revision>
  <dcterms:created xsi:type="dcterms:W3CDTF">2010-02-16T15:21:00Z</dcterms:created>
  <dcterms:modified xsi:type="dcterms:W3CDTF">2011-01-07T15:19:00Z</dcterms:modified>
</cp:coreProperties>
</file>