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A1" w:rsidRDefault="008504A1" w:rsidP="003E4BE7">
      <w:pPr>
        <w:pStyle w:val="Titel"/>
        <w:jc w:val="both"/>
      </w:pPr>
      <w:r>
        <w:t>Flammenwerfer aus Kerzenwachs</w:t>
      </w:r>
      <w:r w:rsidR="002A13D6">
        <w:rPr>
          <w:rStyle w:val="Funotenzeichen"/>
        </w:rPr>
        <w:footnoteReference w:id="1"/>
      </w:r>
    </w:p>
    <w:p w:rsidR="00E24E72" w:rsidRDefault="00E24E72" w:rsidP="003E4BE7">
      <w:pPr>
        <w:jc w:val="both"/>
        <w:rPr>
          <w:rFonts w:ascii="NimbusRomNo9L-Regu" w:hAnsi="NimbusRomNo9L-Regu" w:cs="NimbusRomNo9L-Regu"/>
          <w:sz w:val="20"/>
          <w:szCs w:val="20"/>
        </w:rPr>
      </w:pPr>
    </w:p>
    <w:p w:rsidR="008504A1" w:rsidRPr="002A13D6" w:rsidRDefault="00587B40" w:rsidP="003E4BE7">
      <w:pPr>
        <w:jc w:val="both"/>
        <w:rPr>
          <w:rFonts w:ascii="NimbusRomNo9L-Regu" w:hAnsi="NimbusRomNo9L-Regu" w:cs="NimbusRomNo9L-Regu"/>
          <w:sz w:val="20"/>
          <w:szCs w:val="20"/>
        </w:rPr>
      </w:pPr>
      <w:bookmarkStart w:id="0" w:name="_GoBack"/>
      <w:bookmarkEnd w:id="0"/>
      <w:r w:rsidRPr="002A13D6">
        <w:rPr>
          <w:rFonts w:ascii="NimbusRomNo9L-Regu" w:hAnsi="NimbusRomNo9L-Regu" w:cs="NimbusRomNo9L-Regu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D8156DF" wp14:editId="35EE6EC5">
            <wp:simplePos x="0" y="0"/>
            <wp:positionH relativeFrom="column">
              <wp:posOffset>3356610</wp:posOffset>
            </wp:positionH>
            <wp:positionV relativeFrom="paragraph">
              <wp:posOffset>199390</wp:posOffset>
            </wp:positionV>
            <wp:extent cx="2406650" cy="2449195"/>
            <wp:effectExtent l="0" t="0" r="0" b="8255"/>
            <wp:wrapTight wrapText="bothSides">
              <wp:wrapPolygon edited="0">
                <wp:start x="0" y="0"/>
                <wp:lineTo x="0" y="21505"/>
                <wp:lineTo x="21372" y="21505"/>
                <wp:lineTo x="2137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4A1" w:rsidRPr="002A13D6">
        <w:rPr>
          <w:rFonts w:ascii="NimbusRomNo9L-Regu" w:hAnsi="NimbusRomNo9L-Regu" w:cs="NimbusRomNo9L-Regu"/>
          <w:sz w:val="20"/>
          <w:szCs w:val="20"/>
        </w:rPr>
        <w:t xml:space="preserve">Chemikalien: </w:t>
      </w:r>
      <w:r w:rsidR="008504A1" w:rsidRPr="002A13D6">
        <w:rPr>
          <w:rFonts w:ascii="NimbusRomNo9L-Regu" w:hAnsi="NimbusRomNo9L-Regu" w:cs="NimbusRomNo9L-Regu"/>
          <w:sz w:val="20"/>
          <w:szCs w:val="20"/>
        </w:rPr>
        <w:t>Geraspeltes Kerzenwachs</w:t>
      </w:r>
    </w:p>
    <w:p w:rsidR="002062E7" w:rsidRPr="002A13D6" w:rsidRDefault="002062E7" w:rsidP="003E4BE7">
      <w:pPr>
        <w:rPr>
          <w:rFonts w:ascii="NimbusRomNo9L-Regu" w:hAnsi="NimbusRomNo9L-Regu" w:cs="NimbusRomNo9L-Regu"/>
          <w:sz w:val="20"/>
          <w:szCs w:val="20"/>
        </w:rPr>
      </w:pPr>
      <w:r w:rsidRPr="002A13D6">
        <w:rPr>
          <w:rFonts w:ascii="NimbusRomNo9L-Regu" w:hAnsi="NimbusRomNo9L-Regu" w:cs="NimbusRomNo9L-Regu"/>
          <w:sz w:val="20"/>
          <w:szCs w:val="20"/>
        </w:rPr>
        <w:t>Geräte: alte, dünnwandige Reagenzgläser, Bechergläaser, Bunsenbrenner</w:t>
      </w:r>
    </w:p>
    <w:p w:rsidR="002062E7" w:rsidRDefault="002062E7" w:rsidP="003E4BE7">
      <w:pPr>
        <w:jc w:val="both"/>
      </w:pPr>
    </w:p>
    <w:p w:rsidR="00E24E72" w:rsidRDefault="00E24E72" w:rsidP="003E4BE7">
      <w:pPr>
        <w:jc w:val="both"/>
      </w:pPr>
    </w:p>
    <w:p w:rsidR="002062E7" w:rsidRDefault="002062E7" w:rsidP="003E4BE7">
      <w:pPr>
        <w:autoSpaceDE w:val="0"/>
        <w:autoSpaceDN w:val="0"/>
        <w:adjustRightInd w:val="0"/>
        <w:spacing w:after="0" w:line="240" w:lineRule="auto"/>
        <w:jc w:val="both"/>
        <w:rPr>
          <w:rFonts w:ascii="NimbusRomNo9L-Medi" w:hAnsi="NimbusRomNo9L-Medi" w:cs="NimbusRomNo9L-Medi"/>
          <w:sz w:val="24"/>
          <w:szCs w:val="24"/>
        </w:rPr>
      </w:pPr>
      <w:r>
        <w:rPr>
          <w:rFonts w:ascii="NimbusRomNo9L-Medi" w:hAnsi="NimbusRomNo9L-Medi" w:cs="NimbusRomNo9L-Medi"/>
          <w:sz w:val="24"/>
          <w:szCs w:val="24"/>
        </w:rPr>
        <w:t>Durchführung:</w:t>
      </w:r>
    </w:p>
    <w:p w:rsidR="002062E7" w:rsidRDefault="002062E7" w:rsidP="003E4BE7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Ein heiles, nicht zu hochwertiges RG wird 2-3 cm hoch mit geraspeltem Kerzenwachs gefüllt. In einen Halter eingespannt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erhitzen wir es bis zum Sieden über der Brennerflamme. Wenn sich das Wachs gelblich verfärbt und ca. eine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Minute gesiedet hat, stellt man das RG sofort in ein mit kaltem Wasser gefülltes BG. Dabei darauf achten, dass das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RG schräg ins Wasser gehalten wird und die Öffnung nicht in Richtung der Betrachter zeigt. Der Raum kann vorher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abgedunkelt werden</w:t>
      </w:r>
    </w:p>
    <w:p w:rsidR="002062E7" w:rsidRDefault="002062E7" w:rsidP="003E4BE7">
      <w:pPr>
        <w:jc w:val="both"/>
        <w:rPr>
          <w:rFonts w:ascii="NimbusRomNo9L-Regu" w:hAnsi="NimbusRomNo9L-Regu" w:cs="NimbusRomNo9L-Regu"/>
          <w:sz w:val="20"/>
          <w:szCs w:val="20"/>
        </w:rPr>
      </w:pPr>
    </w:p>
    <w:p w:rsidR="002062E7" w:rsidRDefault="002062E7" w:rsidP="003E4BE7">
      <w:pPr>
        <w:jc w:val="both"/>
        <w:rPr>
          <w:rFonts w:ascii="NimbusRomNo9L-Regu" w:hAnsi="NimbusRomNo9L-Regu" w:cs="NimbusRomNo9L-Regu"/>
          <w:sz w:val="20"/>
          <w:szCs w:val="20"/>
        </w:rPr>
      </w:pPr>
    </w:p>
    <w:p w:rsidR="002062E7" w:rsidRDefault="002062E7" w:rsidP="003E4BE7">
      <w:pPr>
        <w:autoSpaceDE w:val="0"/>
        <w:autoSpaceDN w:val="0"/>
        <w:adjustRightInd w:val="0"/>
        <w:spacing w:after="0" w:line="240" w:lineRule="auto"/>
        <w:jc w:val="both"/>
        <w:rPr>
          <w:rFonts w:ascii="NimbusRomNo9L-Medi" w:hAnsi="NimbusRomNo9L-Medi" w:cs="NimbusRomNo9L-Medi"/>
          <w:sz w:val="24"/>
          <w:szCs w:val="24"/>
        </w:rPr>
      </w:pPr>
      <w:r>
        <w:rPr>
          <w:rFonts w:ascii="NimbusRomNo9L-Medi" w:hAnsi="NimbusRomNo9L-Medi" w:cs="NimbusRomNo9L-Medi"/>
          <w:sz w:val="24"/>
          <w:szCs w:val="24"/>
        </w:rPr>
        <w:t>Beobachtung:</w:t>
      </w:r>
    </w:p>
    <w:p w:rsidR="002062E7" w:rsidRDefault="002062E7" w:rsidP="003E4BE7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Für einen kurzen Augenblick geschieht nichts, dann fegt wei</w:t>
      </w:r>
      <w:r w:rsidR="00167801">
        <w:rPr>
          <w:rFonts w:ascii="NimbusRomNo9L-Regu" w:hAnsi="NimbusRomNo9L-Regu" w:cs="NimbusRomNo9L-Regu"/>
          <w:sz w:val="20"/>
          <w:szCs w:val="20"/>
        </w:rPr>
        <w:t>ss</w:t>
      </w:r>
      <w:r>
        <w:rPr>
          <w:rFonts w:ascii="NimbusRomNo9L-Regu" w:hAnsi="NimbusRomNo9L-Regu" w:cs="NimbusRomNo9L-Regu"/>
          <w:sz w:val="20"/>
          <w:szCs w:val="20"/>
        </w:rPr>
        <w:t>er Rauch aus dem Reagenzglas, der sich anschlie</w:t>
      </w:r>
      <w:r w:rsidR="00167801">
        <w:rPr>
          <w:rFonts w:ascii="NimbusRomNo9L-Regu" w:hAnsi="NimbusRomNo9L-Regu" w:cs="NimbusRomNo9L-Regu"/>
          <w:sz w:val="20"/>
          <w:szCs w:val="20"/>
        </w:rPr>
        <w:t>ss</w:t>
      </w:r>
      <w:r>
        <w:rPr>
          <w:rFonts w:ascii="NimbusRomNo9L-Regu" w:hAnsi="NimbusRomNo9L-Regu" w:cs="NimbusRomNo9L-Regu"/>
          <w:sz w:val="20"/>
          <w:szCs w:val="20"/>
        </w:rPr>
        <w:t>end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von selbst entzündet und in einem beeindruckenden Feuerball aufgeht. Betrachten wir nach der Reaktion das RG, so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sind häufig feinste Risse in der Glaswand zu erkennen.</w:t>
      </w:r>
    </w:p>
    <w:p w:rsidR="002062E7" w:rsidRDefault="002062E7" w:rsidP="003E4BE7">
      <w:pPr>
        <w:jc w:val="both"/>
        <w:rPr>
          <w:rFonts w:ascii="NimbusRomNo9L-Regu" w:hAnsi="NimbusRomNo9L-Regu" w:cs="NimbusRomNo9L-Regu"/>
          <w:sz w:val="20"/>
          <w:szCs w:val="20"/>
        </w:rPr>
      </w:pPr>
    </w:p>
    <w:p w:rsidR="003E4BE7" w:rsidRDefault="003E4BE7" w:rsidP="003E4BE7">
      <w:pPr>
        <w:jc w:val="both"/>
        <w:rPr>
          <w:rFonts w:ascii="NimbusRomNo9L-Regu" w:hAnsi="NimbusRomNo9L-Regu" w:cs="NimbusRomNo9L-Regu"/>
          <w:sz w:val="20"/>
          <w:szCs w:val="20"/>
        </w:rPr>
      </w:pPr>
    </w:p>
    <w:p w:rsidR="002062E7" w:rsidRDefault="002062E7" w:rsidP="003E4BE7">
      <w:pPr>
        <w:autoSpaceDE w:val="0"/>
        <w:autoSpaceDN w:val="0"/>
        <w:adjustRightInd w:val="0"/>
        <w:spacing w:after="0" w:line="240" w:lineRule="auto"/>
        <w:jc w:val="both"/>
        <w:rPr>
          <w:rFonts w:ascii="NimbusRomNo9L-Medi" w:hAnsi="NimbusRomNo9L-Medi" w:cs="NimbusRomNo9L-Medi"/>
          <w:sz w:val="24"/>
          <w:szCs w:val="24"/>
        </w:rPr>
      </w:pPr>
      <w:r>
        <w:rPr>
          <w:rFonts w:ascii="NimbusRomNo9L-Medi" w:hAnsi="NimbusRomNo9L-Medi" w:cs="NimbusRomNo9L-Medi"/>
          <w:sz w:val="24"/>
          <w:szCs w:val="24"/>
        </w:rPr>
        <w:t>Erklärung:</w:t>
      </w:r>
    </w:p>
    <w:p w:rsidR="002062E7" w:rsidRDefault="002062E7" w:rsidP="003E4BE7">
      <w:pPr>
        <w:autoSpaceDE w:val="0"/>
        <w:autoSpaceDN w:val="0"/>
        <w:adjustRightInd w:val="0"/>
        <w:spacing w:after="0" w:line="240" w:lineRule="auto"/>
        <w:jc w:val="both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Bei diesem einfachen, aber spektakulären Versuch kommen Physik und Chemie zusammen. Zunächst bilden sich im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Reagenzglas beim Einstellen in das kalte Wasser feine Risse, manchmal zerspringt das Glas auch regelrecht. In jedem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 xml:space="preserve">Fall dringt Wasser in das Innere des Glases ein und kommt in Kontakt mit dem ca. 400 </w:t>
      </w:r>
      <w:r>
        <w:rPr>
          <w:rFonts w:ascii="CMSY7" w:hAnsi="CMSY7" w:cs="CMSY7"/>
          <w:sz w:val="14"/>
          <w:szCs w:val="14"/>
        </w:rPr>
        <w:t>_</w:t>
      </w:r>
      <w:r>
        <w:rPr>
          <w:rFonts w:ascii="NimbusRomNo9L-Regu" w:hAnsi="NimbusRomNo9L-Regu" w:cs="NimbusRomNo9L-Regu"/>
          <w:sz w:val="20"/>
          <w:szCs w:val="20"/>
        </w:rPr>
        <w:t>C hei</w:t>
      </w:r>
      <w:r w:rsidR="00167801">
        <w:rPr>
          <w:rFonts w:ascii="NimbusRomNo9L-Regu" w:hAnsi="NimbusRomNo9L-Regu" w:cs="NimbusRomNo9L-Regu"/>
          <w:sz w:val="20"/>
          <w:szCs w:val="20"/>
        </w:rPr>
        <w:t>ss</w:t>
      </w:r>
      <w:r>
        <w:rPr>
          <w:rFonts w:ascii="NimbusRomNo9L-Regu" w:hAnsi="NimbusRomNo9L-Regu" w:cs="NimbusRomNo9L-Regu"/>
          <w:sz w:val="20"/>
          <w:szCs w:val="20"/>
        </w:rPr>
        <w:t>en Wachs. Das Wasser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verdampft sehr rasch unter gro</w:t>
      </w:r>
      <w:r w:rsidR="00167801">
        <w:rPr>
          <w:rFonts w:ascii="NimbusRomNo9L-Regu" w:hAnsi="NimbusRomNo9L-Regu" w:cs="NimbusRomNo9L-Regu"/>
          <w:sz w:val="20"/>
          <w:szCs w:val="20"/>
        </w:rPr>
        <w:t>ss</w:t>
      </w:r>
      <w:r>
        <w:rPr>
          <w:rFonts w:ascii="NimbusRomNo9L-Regu" w:hAnsi="NimbusRomNo9L-Regu" w:cs="NimbusRomNo9L-Regu"/>
          <w:sz w:val="20"/>
          <w:szCs w:val="20"/>
        </w:rPr>
        <w:t>er Volumenzunahme. Hierdurch wird das Kerzenwachs aus dem Glas herauskatapultiert.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Es entsteht eineWachsrauchwolke. Soviel zur Physik. Für den Feuerball ist nun die Chemie zuständig: Kerzen</w:t>
      </w:r>
      <w:r w:rsidR="003E4BE7">
        <w:rPr>
          <w:rFonts w:ascii="NimbusRomNo9L-Regu" w:hAnsi="NimbusRomNo9L-Regu" w:cs="NimbusRomNo9L-Regu"/>
          <w:sz w:val="20"/>
          <w:szCs w:val="20"/>
        </w:rPr>
        <w:t>-</w:t>
      </w:r>
      <w:r>
        <w:rPr>
          <w:rFonts w:ascii="NimbusRomNo9L-Regu" w:hAnsi="NimbusRomNo9L-Regu" w:cs="NimbusRomNo9L-Regu"/>
          <w:sz w:val="20"/>
          <w:szCs w:val="20"/>
        </w:rPr>
        <w:t>wachs besteht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aus langkettigen Kohlenwasserstoffen, die die sich beim Erhitzen zersetzen. (Gelb- bzw. Braunfärbung der Schmelze)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Dabei bilden sich unter anderem Wasserstoffradikale. Diese haben im Reagenzglas keinen Kontakt zu Sauerstoff -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anders als im Motorraum, in dem sie für das Klopfen, also das frühzeitige Zünden des Benzindampf-Luft-Gemisches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verantwortlich sind. Gelangt allerdings das Wachs mit dem Wasserdampf fein zerstäubt in die Luft, so reagieren die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H-Radikale sofort unter Flammenerscheinung mit dem Sauerstoff - Sauerstoff ist ja ein Diradikal! - zu Wasser. Durch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diese stark exotherme Reaktion verbrennt nun auch das unzersetzte Wachs. Deutlich sind zwei unterschiedliche Flammenerscheinungen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zu erkennen: Zuerst steigt ein „radikalischer Feuerball“ recht weit nach oben. Daran entzündet sich</w:t>
      </w:r>
      <w:r w:rsidR="00CA728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der Wachsdampf und die Flamme scheint rückwärts wieder in das Reagenzglas hineinzuwandern.</w:t>
      </w:r>
    </w:p>
    <w:p w:rsidR="002062E7" w:rsidRDefault="002062E7" w:rsidP="003E4BE7">
      <w:pPr>
        <w:jc w:val="both"/>
        <w:rPr>
          <w:rFonts w:ascii="NimbusRomNo9L-Regu" w:hAnsi="NimbusRomNo9L-Regu" w:cs="NimbusRomNo9L-Regu"/>
          <w:sz w:val="20"/>
          <w:szCs w:val="20"/>
        </w:rPr>
      </w:pPr>
    </w:p>
    <w:p w:rsidR="00561DDE" w:rsidRDefault="00561DDE" w:rsidP="003E4BE7">
      <w:pPr>
        <w:jc w:val="both"/>
      </w:pPr>
    </w:p>
    <w:sectPr w:rsidR="00561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82" w:rsidRDefault="00615582" w:rsidP="002A13D6">
      <w:pPr>
        <w:spacing w:after="0" w:line="240" w:lineRule="auto"/>
      </w:pPr>
      <w:r>
        <w:separator/>
      </w:r>
    </w:p>
  </w:endnote>
  <w:endnote w:type="continuationSeparator" w:id="0">
    <w:p w:rsidR="00615582" w:rsidRDefault="00615582" w:rsidP="002A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82" w:rsidRDefault="00615582" w:rsidP="002A13D6">
      <w:pPr>
        <w:spacing w:after="0" w:line="240" w:lineRule="auto"/>
      </w:pPr>
      <w:r>
        <w:separator/>
      </w:r>
    </w:p>
  </w:footnote>
  <w:footnote w:type="continuationSeparator" w:id="0">
    <w:p w:rsidR="00615582" w:rsidRDefault="00615582" w:rsidP="002A13D6">
      <w:pPr>
        <w:spacing w:after="0" w:line="240" w:lineRule="auto"/>
      </w:pPr>
      <w:r>
        <w:continuationSeparator/>
      </w:r>
    </w:p>
  </w:footnote>
  <w:footnote w:id="1">
    <w:p w:rsidR="002A13D6" w:rsidRPr="002A13D6" w:rsidRDefault="002A13D6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2A13D6">
        <w:rPr>
          <w:lang w:val="fr-CH"/>
        </w:rPr>
        <w:t xml:space="preserve"> Quelle: </w:t>
      </w:r>
      <w:r w:rsidRPr="002F0DDF">
        <w:rPr>
          <w:rFonts w:ascii="NimbusRomNo9L-Regu" w:hAnsi="NimbusRomNo9L-Regu" w:cs="NimbusRomNo9L-Regu"/>
          <w:lang w:val="fr-CH"/>
        </w:rPr>
        <w:t>https://lp.uni-goettingen.de/get/text/3496</w:t>
      </w:r>
      <w:r>
        <w:rPr>
          <w:rFonts w:ascii="NimbusRomNo9L-Regu" w:hAnsi="NimbusRomNo9L-Regu" w:cs="NimbusRomNo9L-Regu"/>
          <w:lang w:val="fr-CH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A1"/>
    <w:rsid w:val="00167801"/>
    <w:rsid w:val="002062E7"/>
    <w:rsid w:val="002A13D6"/>
    <w:rsid w:val="002F0DDF"/>
    <w:rsid w:val="003E4BE7"/>
    <w:rsid w:val="00561DDE"/>
    <w:rsid w:val="00587B40"/>
    <w:rsid w:val="00615582"/>
    <w:rsid w:val="008504A1"/>
    <w:rsid w:val="00CA728A"/>
    <w:rsid w:val="00D723AA"/>
    <w:rsid w:val="00E2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4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504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504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2E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13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13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13D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A1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4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504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504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2E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13D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13D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13D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A1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9DA0-DD1F-4BC7-846D-D8A8415C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10</cp:revision>
  <dcterms:created xsi:type="dcterms:W3CDTF">2015-11-26T15:36:00Z</dcterms:created>
  <dcterms:modified xsi:type="dcterms:W3CDTF">2015-11-26T15:48:00Z</dcterms:modified>
</cp:coreProperties>
</file>