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559FE" w14:textId="52F43F2A" w:rsidR="00636F5C" w:rsidRPr="00320DA2" w:rsidRDefault="0048557F">
      <w:pPr>
        <w:rPr>
          <w:b/>
          <w:bCs/>
          <w:sz w:val="28"/>
          <w:szCs w:val="28"/>
          <w:u w:val="single"/>
        </w:rPr>
      </w:pPr>
      <w:r w:rsidRPr="00320DA2">
        <w:rPr>
          <w:b/>
          <w:bCs/>
          <w:sz w:val="28"/>
          <w:szCs w:val="28"/>
          <w:u w:val="single"/>
        </w:rPr>
        <w:t>Säure / Base Zusammenfassung</w:t>
      </w:r>
    </w:p>
    <w:p w14:paraId="1837C631" w14:textId="77777777" w:rsidR="0048557F" w:rsidRPr="00320DA2" w:rsidRDefault="0048557F"/>
    <w:p w14:paraId="5836E6F0" w14:textId="1D798E4B" w:rsidR="0048557F" w:rsidRPr="00320DA2" w:rsidRDefault="0048557F">
      <w:pPr>
        <w:rPr>
          <w:b/>
          <w:bCs/>
          <w:u w:val="single"/>
        </w:rPr>
      </w:pPr>
      <w:r w:rsidRPr="00320DA2">
        <w:rPr>
          <w:b/>
          <w:bCs/>
          <w:u w:val="single"/>
        </w:rPr>
        <w:t xml:space="preserve">Definition nach </w:t>
      </w:r>
      <w:proofErr w:type="spellStart"/>
      <w:r w:rsidRPr="00320DA2">
        <w:rPr>
          <w:b/>
          <w:bCs/>
          <w:u w:val="single"/>
        </w:rPr>
        <w:t>Brønsted</w:t>
      </w:r>
      <w:proofErr w:type="spellEnd"/>
      <w:r w:rsidRPr="00320DA2">
        <w:rPr>
          <w:b/>
          <w:bCs/>
          <w:u w:val="single"/>
        </w:rPr>
        <w:t>:</w:t>
      </w:r>
    </w:p>
    <w:p w14:paraId="5B54861F" w14:textId="195F5426" w:rsidR="0048557F" w:rsidRPr="00320DA2" w:rsidRDefault="0048557F">
      <w:r w:rsidRPr="00320DA2">
        <w:t>Säure-Base-Reaktionen sind Protonenübertragungsreaktionen und werden auch Protolysen oder Protonenaustauschreaktionen genannt.</w:t>
      </w:r>
    </w:p>
    <w:tbl>
      <w:tblPr>
        <w:tblStyle w:val="Tabellenraster"/>
        <w:tblW w:w="0" w:type="auto"/>
        <w:tblLook w:val="04A0" w:firstRow="1" w:lastRow="0" w:firstColumn="1" w:lastColumn="0" w:noHBand="0" w:noVBand="1"/>
      </w:tblPr>
      <w:tblGrid>
        <w:gridCol w:w="2198"/>
        <w:gridCol w:w="2617"/>
        <w:gridCol w:w="4247"/>
      </w:tblGrid>
      <w:tr w:rsidR="0048557F" w:rsidRPr="00320DA2" w14:paraId="58DC0912" w14:textId="77777777" w:rsidTr="007D1384">
        <w:tc>
          <w:tcPr>
            <w:tcW w:w="2198" w:type="dxa"/>
          </w:tcPr>
          <w:p w14:paraId="18FEDB7D" w14:textId="0A8B1F94" w:rsidR="0048557F" w:rsidRPr="00320DA2" w:rsidRDefault="0048557F">
            <w:r w:rsidRPr="00320DA2">
              <w:t>Säuren</w:t>
            </w:r>
          </w:p>
        </w:tc>
        <w:tc>
          <w:tcPr>
            <w:tcW w:w="2617" w:type="dxa"/>
          </w:tcPr>
          <w:p w14:paraId="0436FC8B" w14:textId="1A3787BF" w:rsidR="0048557F" w:rsidRPr="00320DA2" w:rsidRDefault="0048557F">
            <w:r w:rsidRPr="00320DA2">
              <w:t>Protonendonatoren</w:t>
            </w:r>
          </w:p>
        </w:tc>
        <w:tc>
          <w:tcPr>
            <w:tcW w:w="4247" w:type="dxa"/>
          </w:tcPr>
          <w:p w14:paraId="4C830177" w14:textId="55246202" w:rsidR="0048557F" w:rsidRPr="00320DA2" w:rsidRDefault="0048557F">
            <w:r w:rsidRPr="00320DA2">
              <w:rPr>
                <w:b/>
                <w:bCs/>
              </w:rPr>
              <w:t>Säuren</w:t>
            </w:r>
            <w:r w:rsidRPr="00320DA2">
              <w:t xml:space="preserve"> können Protonen an andere Substanzen (Basen)</w:t>
            </w:r>
            <w:r w:rsidRPr="00320DA2">
              <w:rPr>
                <w:b/>
                <w:bCs/>
              </w:rPr>
              <w:t xml:space="preserve"> abgeben</w:t>
            </w:r>
            <w:r w:rsidRPr="00320DA2">
              <w:t xml:space="preserve">. Sie müssen mindestens ein als Proton </w:t>
            </w:r>
            <w:proofErr w:type="spellStart"/>
            <w:r w:rsidRPr="00320DA2">
              <w:t>abspaltbares</w:t>
            </w:r>
            <w:proofErr w:type="spellEnd"/>
            <w:r w:rsidRPr="00320DA2">
              <w:t xml:space="preserve"> Wasserstoffatom</w:t>
            </w:r>
            <w:r w:rsidR="007D1384" w:rsidRPr="00320DA2">
              <w:t xml:space="preserve"> besitzen</w:t>
            </w:r>
            <w:r w:rsidRPr="00320DA2">
              <w:t xml:space="preserve">. </w:t>
            </w:r>
          </w:p>
        </w:tc>
      </w:tr>
      <w:tr w:rsidR="0048557F" w:rsidRPr="00320DA2" w14:paraId="66F3C0A2" w14:textId="77777777" w:rsidTr="007D1384">
        <w:trPr>
          <w:trHeight w:val="1134"/>
        </w:trPr>
        <w:tc>
          <w:tcPr>
            <w:tcW w:w="2198" w:type="dxa"/>
          </w:tcPr>
          <w:p w14:paraId="0C54E563" w14:textId="5CA138E3" w:rsidR="007D1384" w:rsidRPr="00320DA2" w:rsidRDefault="007D1384">
            <w:r w:rsidRPr="00320DA2">
              <w:t>Basen</w:t>
            </w:r>
          </w:p>
        </w:tc>
        <w:tc>
          <w:tcPr>
            <w:tcW w:w="2617" w:type="dxa"/>
          </w:tcPr>
          <w:p w14:paraId="2FF0C562" w14:textId="446E175D" w:rsidR="0048557F" w:rsidRPr="00320DA2" w:rsidRDefault="007D1384">
            <w:r w:rsidRPr="00320DA2">
              <w:t>Protonenakzeptoren</w:t>
            </w:r>
          </w:p>
        </w:tc>
        <w:tc>
          <w:tcPr>
            <w:tcW w:w="4247" w:type="dxa"/>
          </w:tcPr>
          <w:p w14:paraId="42D0FFD7" w14:textId="78292C97" w:rsidR="0048557F" w:rsidRPr="00320DA2" w:rsidRDefault="0048557F">
            <w:r w:rsidRPr="00320DA2">
              <w:rPr>
                <w:b/>
                <w:bCs/>
              </w:rPr>
              <w:t>Basen</w:t>
            </w:r>
            <w:r w:rsidRPr="00320DA2">
              <w:t xml:space="preserve"> Können Protonen von anderen </w:t>
            </w:r>
            <w:r w:rsidR="007D1384" w:rsidRPr="00320DA2">
              <w:t>Substanzen (Säuren)</w:t>
            </w:r>
            <w:r w:rsidR="007D1384" w:rsidRPr="00320DA2">
              <w:rPr>
                <w:b/>
                <w:bCs/>
              </w:rPr>
              <w:t xml:space="preserve"> aufnehmen</w:t>
            </w:r>
            <w:r w:rsidR="007D1384" w:rsidRPr="00320DA2">
              <w:t>. Sie müssen mindestens ein freies Elektronenpaar zur Bindung mit einem Proton besitzen.</w:t>
            </w:r>
          </w:p>
        </w:tc>
      </w:tr>
      <w:tr w:rsidR="0048557F" w:rsidRPr="00320DA2" w14:paraId="0C5BA3D6" w14:textId="77777777" w:rsidTr="007D1384">
        <w:tc>
          <w:tcPr>
            <w:tcW w:w="2198" w:type="dxa"/>
          </w:tcPr>
          <w:p w14:paraId="3031E56A" w14:textId="09DD0F53" w:rsidR="0048557F" w:rsidRPr="00320DA2" w:rsidRDefault="007D1384">
            <w:r w:rsidRPr="00320DA2">
              <w:t>Ampholyte</w:t>
            </w:r>
          </w:p>
        </w:tc>
        <w:tc>
          <w:tcPr>
            <w:tcW w:w="2617" w:type="dxa"/>
          </w:tcPr>
          <w:p w14:paraId="053ACFD4" w14:textId="65CD4375" w:rsidR="0048557F" w:rsidRPr="00320DA2" w:rsidRDefault="007D1384">
            <w:r w:rsidRPr="00320DA2">
              <w:t>Protonendonatoren und -akzeptoren</w:t>
            </w:r>
          </w:p>
        </w:tc>
        <w:tc>
          <w:tcPr>
            <w:tcW w:w="4247" w:type="dxa"/>
          </w:tcPr>
          <w:p w14:paraId="3C43B3F5" w14:textId="73AE897A" w:rsidR="0048557F" w:rsidRPr="00320DA2" w:rsidRDefault="007D1384">
            <w:r w:rsidRPr="00320DA2">
              <w:rPr>
                <w:b/>
                <w:bCs/>
              </w:rPr>
              <w:t>Ampholyte</w:t>
            </w:r>
            <w:r w:rsidRPr="00320DA2">
              <w:t xml:space="preserve"> (auch amphotere Teilchen) können je nach Reaktionspartner ein Proton </w:t>
            </w:r>
            <w:r w:rsidRPr="00320DA2">
              <w:rPr>
                <w:b/>
                <w:bCs/>
              </w:rPr>
              <w:t>aufnehmen</w:t>
            </w:r>
            <w:r w:rsidRPr="00320DA2">
              <w:t xml:space="preserve"> oder </w:t>
            </w:r>
            <w:r w:rsidRPr="00320DA2">
              <w:rPr>
                <w:b/>
                <w:bCs/>
              </w:rPr>
              <w:t>abgeben</w:t>
            </w:r>
            <w:r w:rsidRPr="00320DA2">
              <w:t>.</w:t>
            </w:r>
          </w:p>
        </w:tc>
      </w:tr>
      <w:tr w:rsidR="0048557F" w:rsidRPr="00320DA2" w14:paraId="5CB9C914" w14:textId="77777777" w:rsidTr="007D1384">
        <w:tc>
          <w:tcPr>
            <w:tcW w:w="2198" w:type="dxa"/>
          </w:tcPr>
          <w:p w14:paraId="32A8F673" w14:textId="7A1C2C1B" w:rsidR="0048557F" w:rsidRPr="00320DA2" w:rsidRDefault="007D1384">
            <w:r w:rsidRPr="00320DA2">
              <w:t>Korrespondierendes Säure-Base-Paar</w:t>
            </w:r>
          </w:p>
        </w:tc>
        <w:tc>
          <w:tcPr>
            <w:tcW w:w="2617" w:type="dxa"/>
          </w:tcPr>
          <w:p w14:paraId="7A533961" w14:textId="1F5AC294" w:rsidR="0048557F" w:rsidRPr="00320DA2" w:rsidRDefault="007D1384">
            <w:r w:rsidRPr="00320DA2">
              <w:t>Ein-Protonen-Austausch</w:t>
            </w:r>
          </w:p>
          <w:p w14:paraId="17036BFA" w14:textId="25D51354" w:rsidR="007D1384" w:rsidRPr="00320DA2" w:rsidRDefault="007D1384"/>
        </w:tc>
        <w:tc>
          <w:tcPr>
            <w:tcW w:w="4247" w:type="dxa"/>
          </w:tcPr>
          <w:p w14:paraId="79521342" w14:textId="06F9B785" w:rsidR="0048557F" w:rsidRPr="00320DA2" w:rsidRDefault="007D1384">
            <w:r w:rsidRPr="00320DA2">
              <w:t>Zwei Teilchen, welche sich nur um ein Proton unterscheiden.</w:t>
            </w:r>
          </w:p>
        </w:tc>
      </w:tr>
    </w:tbl>
    <w:p w14:paraId="7F2809AB" w14:textId="3C25FED3" w:rsidR="000D771F" w:rsidRPr="00320DA2" w:rsidRDefault="00A50779">
      <w:r>
        <w:br/>
      </w:r>
      <w:r w:rsidRPr="00CE4E04">
        <w:rPr>
          <w:b/>
          <w:bCs/>
          <w:u w:val="single"/>
        </w:rPr>
        <w:t>Wichtige Säuren:</w:t>
      </w:r>
      <w:r>
        <w:br/>
      </w:r>
      <w:r>
        <w:rPr>
          <w:noProof/>
        </w:rPr>
        <w:drawing>
          <wp:inline distT="0" distB="0" distL="0" distR="0" wp14:anchorId="18ADC443" wp14:editId="4E0D370A">
            <wp:extent cx="4658214" cy="2719346"/>
            <wp:effectExtent l="0" t="0" r="952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91602" cy="2738837"/>
                    </a:xfrm>
                    <a:prstGeom prst="rect">
                      <a:avLst/>
                    </a:prstGeom>
                  </pic:spPr>
                </pic:pic>
              </a:graphicData>
            </a:graphic>
          </wp:inline>
        </w:drawing>
      </w:r>
    </w:p>
    <w:p w14:paraId="51E11D41" w14:textId="241D733D" w:rsidR="00904EAE" w:rsidRPr="00320DA2" w:rsidRDefault="00904EAE">
      <w:pPr>
        <w:rPr>
          <w:b/>
          <w:bCs/>
          <w:u w:val="single"/>
        </w:rPr>
      </w:pPr>
      <w:r w:rsidRPr="00320DA2">
        <w:rPr>
          <w:b/>
          <w:bCs/>
          <w:u w:val="single"/>
        </w:rPr>
        <w:t>Charakteristika von Säuren und Basen:</w:t>
      </w:r>
    </w:p>
    <w:p w14:paraId="18DAB797" w14:textId="271B1344" w:rsidR="00904EAE" w:rsidRPr="00320DA2" w:rsidRDefault="00904EAE" w:rsidP="00904EAE">
      <w:pPr>
        <w:pStyle w:val="Listenabsatz"/>
        <w:numPr>
          <w:ilvl w:val="0"/>
          <w:numId w:val="7"/>
        </w:numPr>
      </w:pPr>
      <w:r w:rsidRPr="00320DA2">
        <w:t>Säuren können in wässrigen Lösungen bei Säure-Base-Indikatoren einen Farbwechsel bewirken.</w:t>
      </w:r>
    </w:p>
    <w:p w14:paraId="54BEE2A1" w14:textId="6F5D4376" w:rsidR="00904EAE" w:rsidRPr="00320DA2" w:rsidRDefault="00904EAE" w:rsidP="00904EAE">
      <w:pPr>
        <w:pStyle w:val="Listenabsatz"/>
        <w:numPr>
          <w:ilvl w:val="0"/>
          <w:numId w:val="7"/>
        </w:numPr>
      </w:pPr>
      <w:r w:rsidRPr="00320DA2">
        <w:t>Säuren und Basen in wässrigen Lösungen können den elektrischen Strom leiten.</w:t>
      </w:r>
    </w:p>
    <w:p w14:paraId="67F20BC3" w14:textId="69713F3F" w:rsidR="00904EAE" w:rsidRPr="00320DA2" w:rsidRDefault="00904EAE" w:rsidP="00904EAE">
      <w:pPr>
        <w:pStyle w:val="Listenabsatz"/>
        <w:numPr>
          <w:ilvl w:val="0"/>
          <w:numId w:val="7"/>
        </w:numPr>
      </w:pPr>
      <w:r w:rsidRPr="00320DA2">
        <w:t xml:space="preserve">Säuren in wässrigen Lösungen greifen unedle Metalle (z.B. Zink oder Magnesium) an. Diese Metalle zerfallen dann in </w:t>
      </w:r>
      <w:proofErr w:type="spellStart"/>
      <w:r w:rsidRPr="00320DA2">
        <w:t>aquatisierte</w:t>
      </w:r>
      <w:proofErr w:type="spellEnd"/>
      <w:r w:rsidRPr="00320DA2">
        <w:t xml:space="preserve"> Ionen.</w:t>
      </w:r>
    </w:p>
    <w:p w14:paraId="38944F4B" w14:textId="1ADCA87D" w:rsidR="00904EAE" w:rsidRPr="00320DA2" w:rsidRDefault="00904EAE" w:rsidP="00904EAE">
      <w:pPr>
        <w:pStyle w:val="Listenabsatz"/>
        <w:numPr>
          <w:ilvl w:val="0"/>
          <w:numId w:val="7"/>
        </w:numPr>
      </w:pPr>
      <w:r w:rsidRPr="00320DA2">
        <w:t>Basen in wässrigen Lösungen fühlen sich seifig und glitschig an.</w:t>
      </w:r>
    </w:p>
    <w:p w14:paraId="1E3887BF" w14:textId="77777777" w:rsidR="00D21318" w:rsidRPr="00320DA2" w:rsidRDefault="00D21318" w:rsidP="00D21318"/>
    <w:tbl>
      <w:tblPr>
        <w:tblStyle w:val="Tabellenraster"/>
        <w:tblpPr w:leftFromText="141" w:rightFromText="141" w:vertAnchor="text" w:horzAnchor="page" w:tblpX="5994" w:tblpY="811"/>
        <w:tblW w:w="0" w:type="auto"/>
        <w:tblLook w:val="04A0" w:firstRow="1" w:lastRow="0" w:firstColumn="1" w:lastColumn="0" w:noHBand="0" w:noVBand="1"/>
      </w:tblPr>
      <w:tblGrid>
        <w:gridCol w:w="1555"/>
        <w:gridCol w:w="3685"/>
      </w:tblGrid>
      <w:tr w:rsidR="00EF5612" w:rsidRPr="00320DA2" w14:paraId="3AAF9DE0" w14:textId="77777777" w:rsidTr="00EF5612">
        <w:tc>
          <w:tcPr>
            <w:tcW w:w="1555" w:type="dxa"/>
          </w:tcPr>
          <w:p w14:paraId="5E45A57E" w14:textId="4225F871" w:rsidR="00EF5612" w:rsidRPr="00320DA2" w:rsidRDefault="00EF5612" w:rsidP="00EF5612">
            <w:pPr>
              <w:rPr>
                <w:vertAlign w:val="subscript"/>
              </w:rPr>
            </w:pPr>
            <w:proofErr w:type="spellStart"/>
            <w:proofErr w:type="gramStart"/>
            <w:r w:rsidRPr="00320DA2">
              <w:lastRenderedPageBreak/>
              <w:t>k</w:t>
            </w:r>
            <w:r w:rsidRPr="00320DA2">
              <w:rPr>
                <w:vertAlign w:val="subscript"/>
              </w:rPr>
              <w:t>H</w:t>
            </w:r>
            <w:proofErr w:type="spellEnd"/>
            <w:r w:rsidRPr="00320DA2">
              <w:t xml:space="preserve"> ,</w:t>
            </w:r>
            <w:proofErr w:type="gramEnd"/>
            <w:r w:rsidRPr="00320DA2">
              <w:t xml:space="preserve"> </w:t>
            </w:r>
            <w:proofErr w:type="spellStart"/>
            <w:r w:rsidRPr="00320DA2">
              <w:t>k</w:t>
            </w:r>
            <w:r w:rsidRPr="00320DA2">
              <w:rPr>
                <w:vertAlign w:val="subscript"/>
              </w:rPr>
              <w:t>R</w:t>
            </w:r>
            <w:proofErr w:type="spellEnd"/>
          </w:p>
        </w:tc>
        <w:tc>
          <w:tcPr>
            <w:tcW w:w="3685" w:type="dxa"/>
          </w:tcPr>
          <w:p w14:paraId="30EACC62" w14:textId="09884660" w:rsidR="00EF5612" w:rsidRPr="00320DA2" w:rsidRDefault="00EF5612" w:rsidP="00EF5612">
            <w:r w:rsidRPr="00320DA2">
              <w:t>Gleichgewichtskonstante der Hin- und der Rückreaktion (abhängig von der Reaktion selbst und der Temperatur)</w:t>
            </w:r>
          </w:p>
        </w:tc>
      </w:tr>
      <w:tr w:rsidR="00EF5612" w:rsidRPr="00320DA2" w14:paraId="0FE31A55" w14:textId="77777777" w:rsidTr="00EF5612">
        <w:trPr>
          <w:trHeight w:val="389"/>
        </w:trPr>
        <w:tc>
          <w:tcPr>
            <w:tcW w:w="1555" w:type="dxa"/>
          </w:tcPr>
          <w:p w14:paraId="7E485EC8" w14:textId="64E9F89D" w:rsidR="00EF5612" w:rsidRPr="00320DA2" w:rsidRDefault="00EF5612" w:rsidP="00EF5612">
            <w:r w:rsidRPr="00320DA2">
              <w:t>K</w:t>
            </w:r>
          </w:p>
        </w:tc>
        <w:tc>
          <w:tcPr>
            <w:tcW w:w="3685" w:type="dxa"/>
          </w:tcPr>
          <w:p w14:paraId="396918A4" w14:textId="37B9408F" w:rsidR="00EF5612" w:rsidRPr="00320DA2" w:rsidRDefault="00EF5612" w:rsidP="00EF5612">
            <w:r w:rsidRPr="00320DA2">
              <w:t>Gleichgewichtskonstante (abhängig von der Reaktion selbst und der Temperatur)</w:t>
            </w:r>
          </w:p>
        </w:tc>
      </w:tr>
    </w:tbl>
    <w:p w14:paraId="1225469F" w14:textId="77777777" w:rsidR="00EF5612" w:rsidRPr="00320DA2" w:rsidRDefault="00D21318" w:rsidP="00904EAE">
      <w:pPr>
        <w:rPr>
          <w:b/>
          <w:bCs/>
          <w:u w:val="single"/>
        </w:rPr>
      </w:pPr>
      <w:r w:rsidRPr="00320DA2">
        <w:rPr>
          <w:b/>
          <w:bCs/>
          <w:u w:val="single"/>
        </w:rPr>
        <w:t>Massenwirkungsgesetz:</w:t>
      </w:r>
    </w:p>
    <w:p w14:paraId="55B77CE0" w14:textId="32B62E91" w:rsidR="00904EAE" w:rsidRPr="00320DA2" w:rsidRDefault="00904EAE" w:rsidP="00904EAE">
      <w:pPr>
        <w:rPr>
          <w:u w:val="single"/>
        </w:rPr>
      </w:pPr>
    </w:p>
    <w:p w14:paraId="08959FEC" w14:textId="77777777" w:rsidR="00D21318" w:rsidRPr="00320DA2" w:rsidRDefault="00D21318" w:rsidP="00904EAE">
      <w:r w:rsidRPr="00320DA2">
        <w:t>Reaktion:</w:t>
      </w:r>
    </w:p>
    <w:p w14:paraId="79C0375D" w14:textId="4ABE7B86" w:rsidR="00D21318" w:rsidRPr="00320DA2" w:rsidRDefault="00D21318" w:rsidP="00D21318">
      <w:pPr>
        <w:ind w:firstLine="708"/>
      </w:pPr>
      <w:r w:rsidRPr="00320DA2">
        <w:t xml:space="preserve">A + B </w:t>
      </w:r>
      <w:proofErr w:type="gramStart"/>
      <w:r w:rsidRPr="00320DA2">
        <w:rPr>
          <w:rFonts w:ascii="Cambria Math" w:hAnsi="Cambria Math" w:cs="Cambria Math"/>
        </w:rPr>
        <w:t xml:space="preserve">⇌ </w:t>
      </w:r>
      <w:r w:rsidRPr="00320DA2">
        <w:t xml:space="preserve"> C</w:t>
      </w:r>
      <w:proofErr w:type="gramEnd"/>
      <w:r w:rsidRPr="00320DA2">
        <w:t xml:space="preserve"> + D</w:t>
      </w:r>
    </w:p>
    <w:p w14:paraId="44F2AAC8" w14:textId="2B0DA005" w:rsidR="00D21318" w:rsidRPr="00320DA2" w:rsidRDefault="00D21318" w:rsidP="00904EAE">
      <w:r w:rsidRPr="00320DA2">
        <w:t>Geschwindigkeit der Hinreaktion:</w:t>
      </w:r>
    </w:p>
    <w:p w14:paraId="44C0B4DC" w14:textId="36EAFE32" w:rsidR="00D21318" w:rsidRPr="00320DA2" w:rsidRDefault="00D21318" w:rsidP="00904EAE">
      <w:r w:rsidRPr="00320DA2">
        <w:tab/>
      </w:r>
      <w:proofErr w:type="spellStart"/>
      <w:r w:rsidRPr="00320DA2">
        <w:t>v</w:t>
      </w:r>
      <w:r w:rsidRPr="00320DA2">
        <w:rPr>
          <w:vertAlign w:val="subscript"/>
        </w:rPr>
        <w:t>H</w:t>
      </w:r>
      <w:proofErr w:type="spellEnd"/>
      <w:r w:rsidRPr="00320DA2">
        <w:t xml:space="preserve"> = </w:t>
      </w:r>
      <w:proofErr w:type="spellStart"/>
      <w:r w:rsidRPr="00320DA2">
        <w:t>k</w:t>
      </w:r>
      <w:r w:rsidRPr="00320DA2">
        <w:rPr>
          <w:vertAlign w:val="subscript"/>
        </w:rPr>
        <w:t>H</w:t>
      </w:r>
      <w:proofErr w:type="spellEnd"/>
      <w:r w:rsidRPr="00320DA2">
        <w:t xml:space="preserve"> * c(A) * c(B)</w:t>
      </w:r>
    </w:p>
    <w:p w14:paraId="70268400" w14:textId="2594E198" w:rsidR="00D21318" w:rsidRPr="00320DA2" w:rsidRDefault="00D21318" w:rsidP="00904EAE">
      <w:r w:rsidRPr="00320DA2">
        <w:t>Geschwindigkeit der Rückreaktion:</w:t>
      </w:r>
    </w:p>
    <w:p w14:paraId="5B9F3B97" w14:textId="50EE28C6" w:rsidR="00D21318" w:rsidRPr="00320DA2" w:rsidRDefault="00D21318" w:rsidP="00904EAE">
      <w:r w:rsidRPr="00320DA2">
        <w:tab/>
      </w:r>
      <w:proofErr w:type="spellStart"/>
      <w:r w:rsidRPr="00320DA2">
        <w:t>v</w:t>
      </w:r>
      <w:r w:rsidRPr="00320DA2">
        <w:rPr>
          <w:vertAlign w:val="subscript"/>
        </w:rPr>
        <w:t>R</w:t>
      </w:r>
      <w:proofErr w:type="spellEnd"/>
      <w:r w:rsidRPr="00320DA2">
        <w:t xml:space="preserve"> = </w:t>
      </w:r>
      <w:proofErr w:type="spellStart"/>
      <w:r w:rsidRPr="00320DA2">
        <w:t>k</w:t>
      </w:r>
      <w:r w:rsidRPr="00320DA2">
        <w:rPr>
          <w:vertAlign w:val="subscript"/>
        </w:rPr>
        <w:t>R</w:t>
      </w:r>
      <w:proofErr w:type="spellEnd"/>
      <w:r w:rsidRPr="00320DA2">
        <w:t xml:space="preserve"> * c(C) * c(D)</w:t>
      </w:r>
    </w:p>
    <w:p w14:paraId="5B9F1868" w14:textId="44E3E501" w:rsidR="00D21318" w:rsidRPr="00320DA2" w:rsidRDefault="00D21318" w:rsidP="00904EAE">
      <w:r w:rsidRPr="00320DA2">
        <w:t>Gleichgewichtszustand:</w:t>
      </w:r>
    </w:p>
    <w:p w14:paraId="34686875" w14:textId="51519A28" w:rsidR="00D21318" w:rsidRPr="00320DA2" w:rsidRDefault="00D21318" w:rsidP="00D21318">
      <w:r w:rsidRPr="00320DA2">
        <w:tab/>
      </w:r>
      <w:proofErr w:type="spellStart"/>
      <w:r w:rsidRPr="00320DA2">
        <w:t>v</w:t>
      </w:r>
      <w:r w:rsidRPr="00320DA2">
        <w:rPr>
          <w:vertAlign w:val="subscript"/>
        </w:rPr>
        <w:t>H</w:t>
      </w:r>
      <w:proofErr w:type="spellEnd"/>
      <w:r w:rsidRPr="00320DA2">
        <w:t xml:space="preserve"> = </w:t>
      </w:r>
      <w:proofErr w:type="spellStart"/>
      <w:r w:rsidRPr="00320DA2">
        <w:t>v</w:t>
      </w:r>
      <w:r w:rsidRPr="00320DA2">
        <w:rPr>
          <w:vertAlign w:val="subscript"/>
        </w:rPr>
        <w:t>R</w:t>
      </w:r>
      <w:proofErr w:type="spellEnd"/>
    </w:p>
    <w:p w14:paraId="2F23DC03" w14:textId="04C5D426" w:rsidR="00D21318" w:rsidRPr="00320DA2" w:rsidRDefault="00D21318" w:rsidP="00D21318">
      <w:pPr>
        <w:ind w:firstLine="708"/>
      </w:pPr>
      <w:proofErr w:type="spellStart"/>
      <w:r w:rsidRPr="00320DA2">
        <w:t>k</w:t>
      </w:r>
      <w:r w:rsidRPr="00320DA2">
        <w:rPr>
          <w:vertAlign w:val="subscript"/>
        </w:rPr>
        <w:t>H</w:t>
      </w:r>
      <w:proofErr w:type="spellEnd"/>
      <w:r w:rsidRPr="00320DA2">
        <w:t xml:space="preserve"> * c(A) * c(B) = </w:t>
      </w:r>
      <w:proofErr w:type="spellStart"/>
      <w:r w:rsidRPr="00320DA2">
        <w:t>k</w:t>
      </w:r>
      <w:r w:rsidRPr="00320DA2">
        <w:rPr>
          <w:vertAlign w:val="subscript"/>
        </w:rPr>
        <w:t>R</w:t>
      </w:r>
      <w:proofErr w:type="spellEnd"/>
      <w:r w:rsidRPr="00320DA2">
        <w:t xml:space="preserve"> * c(C) * c(D)</w:t>
      </w:r>
    </w:p>
    <w:p w14:paraId="75D52CEE" w14:textId="1F37368C" w:rsidR="00D21318" w:rsidRPr="00320DA2" w:rsidRDefault="00EF5612" w:rsidP="00904EAE">
      <w:r w:rsidRPr="00320DA2">
        <w:t>Gleichgewichtskonstante:</w:t>
      </w:r>
    </w:p>
    <w:p w14:paraId="1557153F" w14:textId="13F2B621" w:rsidR="00D21318" w:rsidRPr="00320DA2" w:rsidRDefault="00D21318" w:rsidP="00904EAE">
      <w:r w:rsidRPr="00320DA2">
        <w:tab/>
        <w:t xml:space="preserve">K = </w:t>
      </w:r>
      <w:proofErr w:type="spellStart"/>
      <w:r w:rsidRPr="00320DA2">
        <w:t>k</w:t>
      </w:r>
      <w:r w:rsidRPr="00320DA2">
        <w:rPr>
          <w:vertAlign w:val="subscript"/>
        </w:rPr>
        <w:t>H</w:t>
      </w:r>
      <w:proofErr w:type="spellEnd"/>
      <w:r w:rsidRPr="00320DA2">
        <w:t xml:space="preserve"> / </w:t>
      </w:r>
      <w:proofErr w:type="spellStart"/>
      <w:r w:rsidRPr="00320DA2">
        <w:t>k</w:t>
      </w:r>
      <w:r w:rsidRPr="00320DA2">
        <w:rPr>
          <w:vertAlign w:val="subscript"/>
        </w:rPr>
        <w:t>R</w:t>
      </w:r>
      <w:proofErr w:type="spellEnd"/>
      <w:r w:rsidRPr="00320DA2">
        <w:t xml:space="preserve"> = c(C) * c(D) / </w:t>
      </w:r>
      <w:r w:rsidR="00EF5612" w:rsidRPr="00320DA2">
        <w:t>c(A) * c(B) = Produkt / Edukt</w:t>
      </w:r>
    </w:p>
    <w:p w14:paraId="0E6F869A" w14:textId="62FBD81E" w:rsidR="00905EE3" w:rsidRPr="00320DA2" w:rsidRDefault="00EF5612" w:rsidP="00904EAE">
      <w:r w:rsidRPr="00320DA2">
        <w:t>Massenwirkungsgesetz:</w:t>
      </w:r>
    </w:p>
    <w:tbl>
      <w:tblPr>
        <w:tblStyle w:val="Tabellenraster"/>
        <w:tblpPr w:leftFromText="141" w:rightFromText="141" w:vertAnchor="text" w:horzAnchor="margin" w:tblpY="135"/>
        <w:tblW w:w="0" w:type="auto"/>
        <w:tblLook w:val="04A0" w:firstRow="1" w:lastRow="0" w:firstColumn="1" w:lastColumn="0" w:noHBand="0" w:noVBand="1"/>
      </w:tblPr>
      <w:tblGrid>
        <w:gridCol w:w="3256"/>
      </w:tblGrid>
      <w:tr w:rsidR="00EF5612" w:rsidRPr="00642A2D" w14:paraId="37F3A870" w14:textId="77777777" w:rsidTr="00905EE3">
        <w:trPr>
          <w:trHeight w:val="843"/>
        </w:trPr>
        <w:tc>
          <w:tcPr>
            <w:tcW w:w="3256" w:type="dxa"/>
          </w:tcPr>
          <w:p w14:paraId="74EEB5D4" w14:textId="77777777" w:rsidR="00905EE3" w:rsidRPr="00A50779" w:rsidRDefault="00905EE3" w:rsidP="00EF5612">
            <w:pPr>
              <w:rPr>
                <w:lang w:val="en-GB"/>
              </w:rPr>
            </w:pPr>
          </w:p>
          <w:p w14:paraId="70098301" w14:textId="2ECC769A" w:rsidR="00EF5612" w:rsidRPr="00A50779" w:rsidRDefault="00EF5612" w:rsidP="00EF5612">
            <w:pPr>
              <w:rPr>
                <w:lang w:val="en-GB"/>
              </w:rPr>
            </w:pPr>
            <w:r w:rsidRPr="00A50779">
              <w:rPr>
                <w:lang w:val="en-GB"/>
              </w:rPr>
              <w:t>K = c</w:t>
            </w:r>
            <w:r w:rsidRPr="00A50779">
              <w:rPr>
                <w:vertAlign w:val="superscript"/>
                <w:lang w:val="en-GB"/>
              </w:rPr>
              <w:t>c</w:t>
            </w:r>
            <w:r w:rsidR="00905EE3" w:rsidRPr="00A50779">
              <w:rPr>
                <w:lang w:val="en-GB"/>
              </w:rPr>
              <w:t>(C) * c</w:t>
            </w:r>
            <w:r w:rsidR="00905EE3" w:rsidRPr="00A50779">
              <w:rPr>
                <w:vertAlign w:val="superscript"/>
                <w:lang w:val="en-GB"/>
              </w:rPr>
              <w:t>d</w:t>
            </w:r>
            <w:r w:rsidR="00905EE3" w:rsidRPr="00A50779">
              <w:rPr>
                <w:lang w:val="en-GB"/>
              </w:rPr>
              <w:t>(D) / c</w:t>
            </w:r>
            <w:r w:rsidR="00905EE3" w:rsidRPr="00A50779">
              <w:rPr>
                <w:vertAlign w:val="superscript"/>
                <w:lang w:val="en-GB"/>
              </w:rPr>
              <w:t>a</w:t>
            </w:r>
            <w:r w:rsidR="00905EE3" w:rsidRPr="00A50779">
              <w:rPr>
                <w:lang w:val="en-GB"/>
              </w:rPr>
              <w:t xml:space="preserve">(A) * </w:t>
            </w:r>
            <w:proofErr w:type="spellStart"/>
            <w:r w:rsidR="00905EE3" w:rsidRPr="00A50779">
              <w:rPr>
                <w:lang w:val="en-GB"/>
              </w:rPr>
              <w:t>c</w:t>
            </w:r>
            <w:r w:rsidR="00905EE3" w:rsidRPr="00A50779">
              <w:rPr>
                <w:vertAlign w:val="superscript"/>
                <w:lang w:val="en-GB"/>
              </w:rPr>
              <w:t>b</w:t>
            </w:r>
            <w:proofErr w:type="spellEnd"/>
            <w:r w:rsidR="00905EE3" w:rsidRPr="00A50779">
              <w:rPr>
                <w:lang w:val="en-GB"/>
              </w:rPr>
              <w:t>(B)</w:t>
            </w:r>
          </w:p>
        </w:tc>
      </w:tr>
    </w:tbl>
    <w:p w14:paraId="36028CB4" w14:textId="77777777" w:rsidR="00D21318" w:rsidRPr="00A50779" w:rsidRDefault="00D21318" w:rsidP="00904EAE">
      <w:pPr>
        <w:rPr>
          <w:lang w:val="en-GB"/>
        </w:rPr>
      </w:pPr>
    </w:p>
    <w:p w14:paraId="3CCD433A" w14:textId="77777777" w:rsidR="00905EE3" w:rsidRPr="00A50779" w:rsidRDefault="00905EE3">
      <w:pPr>
        <w:rPr>
          <w:lang w:val="en-GB"/>
        </w:rPr>
      </w:pPr>
    </w:p>
    <w:p w14:paraId="66F4B246" w14:textId="77777777" w:rsidR="00905EE3" w:rsidRPr="00A50779" w:rsidRDefault="00905EE3">
      <w:pPr>
        <w:rPr>
          <w:lang w:val="en-GB"/>
        </w:rPr>
      </w:pPr>
    </w:p>
    <w:p w14:paraId="70AC5BAA" w14:textId="77777777" w:rsidR="00905EE3" w:rsidRPr="00320DA2" w:rsidRDefault="00905EE3">
      <w:r w:rsidRPr="00320DA2">
        <w:t>Das Massenwirkungsgesetz (MWG) gilt für alle homogenen chemischen Gleichgewichte.</w:t>
      </w:r>
    </w:p>
    <w:p w14:paraId="6678BE54" w14:textId="77777777" w:rsidR="00905EE3" w:rsidRPr="00320DA2" w:rsidRDefault="00905EE3">
      <w:r w:rsidRPr="00320DA2">
        <w:t>Bedeutung von K:</w:t>
      </w:r>
    </w:p>
    <w:p w14:paraId="1E5BA7FB" w14:textId="05C48037" w:rsidR="00905EE3" w:rsidRPr="00320DA2" w:rsidRDefault="00905EE3">
      <w:r w:rsidRPr="00320DA2">
        <w:tab/>
        <w:t>K &gt; 1</w:t>
      </w:r>
      <w:r w:rsidRPr="00320DA2">
        <w:tab/>
      </w:r>
      <w:r w:rsidRPr="00320DA2">
        <w:tab/>
        <w:t>: Gleichgewicht auf der Seite der Produkte (rechts)</w:t>
      </w:r>
    </w:p>
    <w:p w14:paraId="30F2DED4" w14:textId="77777777" w:rsidR="00905EE3" w:rsidRPr="00320DA2" w:rsidRDefault="00905EE3">
      <w:r w:rsidRPr="00320DA2">
        <w:tab/>
        <w:t xml:space="preserve">0 &lt; K &lt; 1 </w:t>
      </w:r>
      <w:r w:rsidRPr="00320DA2">
        <w:tab/>
        <w:t>: Gleichgewicht auf der Seite der Edukte (links)</w:t>
      </w:r>
    </w:p>
    <w:p w14:paraId="1DD160F3" w14:textId="77777777" w:rsidR="00905EE3" w:rsidRPr="00320DA2" w:rsidRDefault="00905EE3">
      <w:r w:rsidRPr="00320DA2">
        <w:tab/>
        <w:t>K = 1</w:t>
      </w:r>
      <w:r w:rsidRPr="00320DA2">
        <w:tab/>
      </w:r>
      <w:r w:rsidRPr="00320DA2">
        <w:tab/>
        <w:t xml:space="preserve">: Gleichgewicht in der Mitte </w:t>
      </w:r>
      <w:r w:rsidRPr="00320DA2">
        <w:sym w:font="Wingdings" w:char="F0E0"/>
      </w:r>
      <w:r w:rsidRPr="00320DA2">
        <w:t xml:space="preserve"> Reaktion ist im Gleichgewicht</w:t>
      </w:r>
    </w:p>
    <w:p w14:paraId="6417E0D6" w14:textId="77777777" w:rsidR="00905EE3" w:rsidRPr="00320DA2" w:rsidRDefault="00905EE3"/>
    <w:p w14:paraId="4BE48713" w14:textId="3DF13EEB" w:rsidR="00B85953" w:rsidRPr="00320DA2" w:rsidRDefault="00905EE3">
      <w:pPr>
        <w:rPr>
          <w:b/>
          <w:bCs/>
          <w:u w:val="single"/>
        </w:rPr>
      </w:pPr>
      <w:r w:rsidRPr="00320DA2">
        <w:rPr>
          <w:b/>
          <w:bCs/>
          <w:u w:val="single"/>
        </w:rPr>
        <w:t>Ionenprodukt des Wassers</w:t>
      </w:r>
      <w:r w:rsidR="00B85953" w:rsidRPr="00320DA2">
        <w:rPr>
          <w:b/>
          <w:bCs/>
          <w:u w:val="single"/>
        </w:rPr>
        <w:t>:</w:t>
      </w:r>
    </w:p>
    <w:p w14:paraId="511D582B" w14:textId="77777777" w:rsidR="00B85953" w:rsidRPr="00320DA2" w:rsidRDefault="00B85953">
      <w:r w:rsidRPr="00320DA2">
        <w:t>Reaktionsgleichung:</w:t>
      </w:r>
    </w:p>
    <w:p w14:paraId="71389B05" w14:textId="77777777" w:rsidR="00B85953" w:rsidRPr="00320DA2" w:rsidRDefault="00B85953">
      <w:pPr>
        <w:rPr>
          <w:vertAlign w:val="superscript"/>
        </w:rPr>
      </w:pPr>
      <w:r w:rsidRPr="00320DA2">
        <w:tab/>
        <w:t>H</w:t>
      </w:r>
      <w:r w:rsidRPr="00320DA2">
        <w:rPr>
          <w:vertAlign w:val="subscript"/>
        </w:rPr>
        <w:t>2</w:t>
      </w:r>
      <w:r w:rsidRPr="00320DA2">
        <w:t>O + H</w:t>
      </w:r>
      <w:r w:rsidRPr="00320DA2">
        <w:rPr>
          <w:vertAlign w:val="subscript"/>
        </w:rPr>
        <w:t>2</w:t>
      </w:r>
      <w:r w:rsidRPr="00320DA2">
        <w:t xml:space="preserve">O </w:t>
      </w:r>
      <w:proofErr w:type="gramStart"/>
      <w:r w:rsidRPr="00320DA2">
        <w:rPr>
          <w:rFonts w:ascii="Cambria Math" w:hAnsi="Cambria Math" w:cs="Cambria Math"/>
        </w:rPr>
        <w:t xml:space="preserve">⇌ </w:t>
      </w:r>
      <w:r w:rsidRPr="00320DA2">
        <w:t xml:space="preserve"> H</w:t>
      </w:r>
      <w:proofErr w:type="gramEnd"/>
      <w:r w:rsidRPr="00320DA2">
        <w:rPr>
          <w:vertAlign w:val="subscript"/>
        </w:rPr>
        <w:t>3</w:t>
      </w:r>
      <w:r w:rsidRPr="00320DA2">
        <w:t>O</w:t>
      </w:r>
      <w:r w:rsidRPr="00320DA2">
        <w:rPr>
          <w:vertAlign w:val="superscript"/>
        </w:rPr>
        <w:t>+</w:t>
      </w:r>
      <w:r w:rsidRPr="00320DA2">
        <w:t xml:space="preserve"> + OH</w:t>
      </w:r>
      <w:r w:rsidRPr="00320DA2">
        <w:rPr>
          <w:vertAlign w:val="superscript"/>
        </w:rPr>
        <w:t>-</w:t>
      </w:r>
    </w:p>
    <w:p w14:paraId="18770CF7" w14:textId="77777777" w:rsidR="00B85953" w:rsidRPr="00320DA2" w:rsidRDefault="00B85953">
      <w:r w:rsidRPr="00320DA2">
        <w:t>Die Konzentration von H</w:t>
      </w:r>
      <w:r w:rsidRPr="00320DA2">
        <w:rPr>
          <w:vertAlign w:val="subscript"/>
        </w:rPr>
        <w:t>3</w:t>
      </w:r>
      <w:r w:rsidRPr="00320DA2">
        <w:t>O</w:t>
      </w:r>
      <w:r w:rsidRPr="00320DA2">
        <w:rPr>
          <w:vertAlign w:val="superscript"/>
        </w:rPr>
        <w:t>+</w:t>
      </w:r>
      <w:r w:rsidRPr="00320DA2">
        <w:t xml:space="preserve"> und OH</w:t>
      </w:r>
      <w:r w:rsidRPr="00320DA2">
        <w:rPr>
          <w:vertAlign w:val="superscript"/>
        </w:rPr>
        <w:t xml:space="preserve">- </w:t>
      </w:r>
      <w:r w:rsidRPr="00320DA2">
        <w:t xml:space="preserve">konnte experimentell bestimmt werden und liegt bei </w:t>
      </w:r>
      <w:r w:rsidRPr="00320DA2">
        <w:br/>
        <w:t>10</w:t>
      </w:r>
      <w:r w:rsidRPr="00320DA2">
        <w:rPr>
          <w:vertAlign w:val="superscript"/>
        </w:rPr>
        <w:t xml:space="preserve">-7 </w:t>
      </w:r>
      <w:proofErr w:type="spellStart"/>
      <w:r w:rsidRPr="00320DA2">
        <w:t>mol</w:t>
      </w:r>
      <w:proofErr w:type="spellEnd"/>
      <w:r w:rsidRPr="00320DA2">
        <w:t xml:space="preserve"> pro Liter. Aus der Berechnung von K resultiert, dass das Gleichgewicht der Reaktion stark links, also auf der Seite der Edukte liegt.</w:t>
      </w:r>
    </w:p>
    <w:p w14:paraId="03716BEC" w14:textId="77777777" w:rsidR="00B85953" w:rsidRPr="00320DA2" w:rsidRDefault="00B85953">
      <w:pPr>
        <w:rPr>
          <w:vertAlign w:val="subscript"/>
        </w:rPr>
      </w:pPr>
      <w:r w:rsidRPr="00320DA2">
        <w:t xml:space="preserve">Ionenprodukt des Wassers = </w:t>
      </w:r>
      <w:proofErr w:type="spellStart"/>
      <w:r w:rsidRPr="00320DA2">
        <w:t>K</w:t>
      </w:r>
      <w:r w:rsidRPr="00320DA2">
        <w:rPr>
          <w:vertAlign w:val="subscript"/>
        </w:rPr>
        <w:t>w</w:t>
      </w:r>
      <w:proofErr w:type="spellEnd"/>
    </w:p>
    <w:tbl>
      <w:tblPr>
        <w:tblStyle w:val="Tabellenraster"/>
        <w:tblW w:w="0" w:type="auto"/>
        <w:tblLook w:val="04A0" w:firstRow="1" w:lastRow="0" w:firstColumn="1" w:lastColumn="0" w:noHBand="0" w:noVBand="1"/>
      </w:tblPr>
      <w:tblGrid>
        <w:gridCol w:w="6374"/>
      </w:tblGrid>
      <w:tr w:rsidR="00B85953" w:rsidRPr="00320DA2" w14:paraId="35F17FF1" w14:textId="77777777" w:rsidTr="00A00056">
        <w:trPr>
          <w:trHeight w:val="737"/>
        </w:trPr>
        <w:tc>
          <w:tcPr>
            <w:tcW w:w="6374" w:type="dxa"/>
          </w:tcPr>
          <w:p w14:paraId="75056AFD" w14:textId="77777777" w:rsidR="00B85953" w:rsidRPr="00320DA2" w:rsidRDefault="00B85953"/>
          <w:p w14:paraId="76304C71" w14:textId="23C5C438" w:rsidR="00B85953" w:rsidRPr="00320DA2" w:rsidRDefault="00B85953">
            <w:proofErr w:type="spellStart"/>
            <w:r w:rsidRPr="00320DA2">
              <w:t>K</w:t>
            </w:r>
            <w:r w:rsidRPr="00320DA2">
              <w:rPr>
                <w:vertAlign w:val="subscript"/>
              </w:rPr>
              <w:t>w</w:t>
            </w:r>
            <w:proofErr w:type="spellEnd"/>
            <w:r w:rsidRPr="00320DA2">
              <w:t xml:space="preserve"> = c</w:t>
            </w:r>
            <w:r w:rsidRPr="00320DA2">
              <w:rPr>
                <w:sz w:val="20"/>
                <w:szCs w:val="20"/>
              </w:rPr>
              <w:t>(</w:t>
            </w:r>
            <w:proofErr w:type="spellStart"/>
            <w:r w:rsidRPr="00320DA2">
              <w:t>H</w:t>
            </w:r>
            <w:r w:rsidRPr="00320DA2">
              <w:rPr>
                <w:vertAlign w:val="subscript"/>
              </w:rPr>
              <w:t>3</w:t>
            </w:r>
            <w:r w:rsidRPr="00320DA2">
              <w:t>O</w:t>
            </w:r>
            <w:proofErr w:type="spellEnd"/>
            <w:r w:rsidRPr="00320DA2">
              <w:rPr>
                <w:vertAlign w:val="superscript"/>
              </w:rPr>
              <w:t>+</w:t>
            </w:r>
            <w:r w:rsidRPr="00320DA2">
              <w:t>) * c(OH</w:t>
            </w:r>
            <w:r w:rsidRPr="00320DA2">
              <w:rPr>
                <w:vertAlign w:val="superscript"/>
              </w:rPr>
              <w:t>-</w:t>
            </w:r>
            <w:r w:rsidRPr="00320DA2">
              <w:t xml:space="preserve">)       </w:t>
            </w:r>
            <w:proofErr w:type="gramStart"/>
            <w:r w:rsidRPr="00320DA2">
              <w:t xml:space="preserve">   (</w:t>
            </w:r>
            <w:proofErr w:type="gramEnd"/>
            <w:r w:rsidRPr="00320DA2">
              <w:t>wird in mol</w:t>
            </w:r>
            <w:r w:rsidRPr="00320DA2">
              <w:rPr>
                <w:vertAlign w:val="superscript"/>
              </w:rPr>
              <w:t>2</w:t>
            </w:r>
            <w:r w:rsidRPr="00320DA2">
              <w:t xml:space="preserve"> pro Liter</w:t>
            </w:r>
            <w:r w:rsidRPr="00320DA2">
              <w:rPr>
                <w:vertAlign w:val="superscript"/>
              </w:rPr>
              <w:t>2</w:t>
            </w:r>
            <w:r w:rsidRPr="00320DA2">
              <w:t xml:space="preserve"> angegeben)</w:t>
            </w:r>
          </w:p>
        </w:tc>
      </w:tr>
    </w:tbl>
    <w:p w14:paraId="6EAFBE29" w14:textId="77777777" w:rsidR="00A00056" w:rsidRPr="00320DA2" w:rsidRDefault="00A00056"/>
    <w:p w14:paraId="261B99E3" w14:textId="77777777" w:rsidR="00A50779" w:rsidRDefault="00A50779">
      <w:pPr>
        <w:rPr>
          <w:b/>
          <w:bCs/>
          <w:u w:val="single"/>
        </w:rPr>
      </w:pPr>
    </w:p>
    <w:p w14:paraId="7851BB33" w14:textId="6C0565B4" w:rsidR="00A00056" w:rsidRPr="00320DA2" w:rsidRDefault="00A00056">
      <w:pPr>
        <w:rPr>
          <w:b/>
          <w:bCs/>
          <w:u w:val="single"/>
        </w:rPr>
      </w:pPr>
      <w:r w:rsidRPr="00320DA2">
        <w:rPr>
          <w:b/>
          <w:bCs/>
          <w:u w:val="single"/>
        </w:rPr>
        <w:lastRenderedPageBreak/>
        <w:t xml:space="preserve">pH-Wert und </w:t>
      </w:r>
      <w:proofErr w:type="spellStart"/>
      <w:r w:rsidRPr="00320DA2">
        <w:rPr>
          <w:b/>
          <w:bCs/>
          <w:u w:val="single"/>
        </w:rPr>
        <w:t>pOH</w:t>
      </w:r>
      <w:proofErr w:type="spellEnd"/>
      <w:r w:rsidRPr="00320DA2">
        <w:rPr>
          <w:b/>
          <w:bCs/>
          <w:u w:val="single"/>
        </w:rPr>
        <w:t>-Wert:</w:t>
      </w:r>
    </w:p>
    <w:p w14:paraId="1CD1E2CC" w14:textId="77777777" w:rsidR="00D8137A" w:rsidRPr="00320DA2" w:rsidRDefault="00A00056">
      <w:r w:rsidRPr="00320DA2">
        <w:rPr>
          <w:u w:val="single"/>
        </w:rPr>
        <w:t>Der pH-Wert ist der negative dekadische Logarithmus der H</w:t>
      </w:r>
      <w:r w:rsidRPr="00320DA2">
        <w:rPr>
          <w:u w:val="single"/>
          <w:vertAlign w:val="subscript"/>
        </w:rPr>
        <w:t>3</w:t>
      </w:r>
      <w:r w:rsidRPr="00320DA2">
        <w:rPr>
          <w:u w:val="single"/>
        </w:rPr>
        <w:t>O</w:t>
      </w:r>
      <w:r w:rsidRPr="00320DA2">
        <w:rPr>
          <w:u w:val="single"/>
          <w:vertAlign w:val="superscript"/>
        </w:rPr>
        <w:t>+</w:t>
      </w:r>
      <w:r w:rsidRPr="00320DA2">
        <w:rPr>
          <w:u w:val="single"/>
        </w:rPr>
        <w:t>-Ionenkonzentration.</w:t>
      </w:r>
      <w:r w:rsidRPr="00320DA2">
        <w:t xml:space="preserve"> Er wird im Spektrum von 10</w:t>
      </w:r>
      <w:r w:rsidRPr="00320DA2">
        <w:rPr>
          <w:vertAlign w:val="superscript"/>
        </w:rPr>
        <w:t>-14</w:t>
      </w:r>
      <w:r w:rsidRPr="00320DA2">
        <w:t xml:space="preserve"> </w:t>
      </w:r>
      <w:proofErr w:type="spellStart"/>
      <w:r w:rsidRPr="00320DA2">
        <w:t>mol</w:t>
      </w:r>
      <w:proofErr w:type="spellEnd"/>
      <w:r w:rsidRPr="00320DA2">
        <w:t xml:space="preserve"> pro l bis 10</w:t>
      </w:r>
      <w:r w:rsidRPr="00320DA2">
        <w:rPr>
          <w:vertAlign w:val="superscript"/>
        </w:rPr>
        <w:t>0</w:t>
      </w:r>
      <w:r w:rsidRPr="00320DA2">
        <w:t xml:space="preserve"> </w:t>
      </w:r>
      <w:proofErr w:type="spellStart"/>
      <w:r w:rsidRPr="00320DA2">
        <w:t>mol</w:t>
      </w:r>
      <w:proofErr w:type="spellEnd"/>
      <w:r w:rsidRPr="00320DA2">
        <w:t xml:space="preserve"> pro l angegeben. Andere Konzentrationen sind theoretisch zwar denkbar, in der Praxis aber sehr unrealistisch.</w:t>
      </w:r>
    </w:p>
    <w:tbl>
      <w:tblPr>
        <w:tblStyle w:val="Tabellenraster"/>
        <w:tblpPr w:leftFromText="141" w:rightFromText="141" w:vertAnchor="text" w:tblpY="47"/>
        <w:tblW w:w="0" w:type="auto"/>
        <w:tblLook w:val="04A0" w:firstRow="1" w:lastRow="0" w:firstColumn="1" w:lastColumn="0" w:noHBand="0" w:noVBand="1"/>
      </w:tblPr>
      <w:tblGrid>
        <w:gridCol w:w="4106"/>
      </w:tblGrid>
      <w:tr w:rsidR="00D8137A" w:rsidRPr="00CE4E04" w14:paraId="38E79B5A" w14:textId="77777777" w:rsidTr="00D8137A">
        <w:trPr>
          <w:trHeight w:val="737"/>
        </w:trPr>
        <w:tc>
          <w:tcPr>
            <w:tcW w:w="4106" w:type="dxa"/>
          </w:tcPr>
          <w:p w14:paraId="52AFE9EA" w14:textId="77777777" w:rsidR="00D8137A" w:rsidRPr="00320DA2" w:rsidRDefault="00D8137A" w:rsidP="00D8137A"/>
          <w:p w14:paraId="41AD8582" w14:textId="77777777" w:rsidR="00D8137A" w:rsidRPr="00A50779" w:rsidRDefault="00D8137A" w:rsidP="00D8137A">
            <w:pPr>
              <w:rPr>
                <w:lang w:val="en-GB"/>
              </w:rPr>
            </w:pPr>
            <w:r w:rsidRPr="00A50779">
              <w:rPr>
                <w:lang w:val="en-GB"/>
              </w:rPr>
              <w:t>pH = -log(c(H</w:t>
            </w:r>
            <w:r w:rsidRPr="00A50779">
              <w:rPr>
                <w:vertAlign w:val="subscript"/>
                <w:lang w:val="en-GB"/>
              </w:rPr>
              <w:t>3</w:t>
            </w:r>
            <w:r w:rsidRPr="00A50779">
              <w:rPr>
                <w:lang w:val="en-GB"/>
              </w:rPr>
              <w:t>O</w:t>
            </w:r>
            <w:r w:rsidRPr="00A50779">
              <w:rPr>
                <w:vertAlign w:val="superscript"/>
                <w:lang w:val="en-GB"/>
              </w:rPr>
              <w:t>+</w:t>
            </w:r>
            <w:r w:rsidRPr="00A50779">
              <w:rPr>
                <w:lang w:val="en-GB"/>
              </w:rPr>
              <w:t xml:space="preserve">))  </w:t>
            </w:r>
            <w:r w:rsidRPr="00320DA2">
              <w:sym w:font="Wingdings" w:char="F0E0"/>
            </w:r>
            <w:r w:rsidRPr="00A50779">
              <w:rPr>
                <w:lang w:val="en-GB"/>
              </w:rPr>
              <w:t xml:space="preserve">  c(H</w:t>
            </w:r>
            <w:r w:rsidRPr="00A50779">
              <w:rPr>
                <w:vertAlign w:val="subscript"/>
                <w:lang w:val="en-GB"/>
              </w:rPr>
              <w:t>3</w:t>
            </w:r>
            <w:r w:rsidRPr="00A50779">
              <w:rPr>
                <w:lang w:val="en-GB"/>
              </w:rPr>
              <w:t>O</w:t>
            </w:r>
            <w:r w:rsidRPr="00A50779">
              <w:rPr>
                <w:vertAlign w:val="superscript"/>
                <w:lang w:val="en-GB"/>
              </w:rPr>
              <w:t>+</w:t>
            </w:r>
            <w:r w:rsidRPr="00A50779">
              <w:rPr>
                <w:lang w:val="en-GB"/>
              </w:rPr>
              <w:t>) = 10</w:t>
            </w:r>
            <w:r w:rsidRPr="00A50779">
              <w:rPr>
                <w:vertAlign w:val="superscript"/>
                <w:lang w:val="en-GB"/>
              </w:rPr>
              <w:t>-pH</w:t>
            </w:r>
          </w:p>
        </w:tc>
      </w:tr>
    </w:tbl>
    <w:p w14:paraId="4F3271F7" w14:textId="77777777" w:rsidR="00D8137A" w:rsidRPr="00A50779" w:rsidRDefault="00B85953">
      <w:pPr>
        <w:rPr>
          <w:lang w:val="en-GB"/>
        </w:rPr>
      </w:pPr>
      <w:r w:rsidRPr="00A50779">
        <w:rPr>
          <w:lang w:val="en-GB"/>
        </w:rPr>
        <w:br/>
      </w:r>
    </w:p>
    <w:p w14:paraId="7EAFE06F" w14:textId="77777777" w:rsidR="00D8137A" w:rsidRPr="00A50779" w:rsidRDefault="00D8137A">
      <w:pPr>
        <w:rPr>
          <w:lang w:val="en-GB"/>
        </w:rPr>
      </w:pPr>
    </w:p>
    <w:p w14:paraId="67DF9AF6" w14:textId="77777777" w:rsidR="00D8137A" w:rsidRPr="00320DA2" w:rsidRDefault="00D8137A">
      <w:r w:rsidRPr="00320DA2">
        <w:t xml:space="preserve">Der </w:t>
      </w:r>
      <w:proofErr w:type="spellStart"/>
      <w:r w:rsidRPr="00320DA2">
        <w:t>pOH</w:t>
      </w:r>
      <w:proofErr w:type="spellEnd"/>
      <w:r w:rsidRPr="00320DA2">
        <w:t xml:space="preserve">-Wert ist analog zum pH-Wert definiert: </w:t>
      </w:r>
      <w:r w:rsidRPr="00320DA2">
        <w:rPr>
          <w:u w:val="single"/>
        </w:rPr>
        <w:t xml:space="preserve">der </w:t>
      </w:r>
      <w:proofErr w:type="spellStart"/>
      <w:r w:rsidRPr="00320DA2">
        <w:rPr>
          <w:u w:val="single"/>
        </w:rPr>
        <w:t>pOH</w:t>
      </w:r>
      <w:proofErr w:type="spellEnd"/>
      <w:r w:rsidRPr="00320DA2">
        <w:rPr>
          <w:u w:val="single"/>
        </w:rPr>
        <w:t>-Wert ist der negative dekadische Logarithmus der OH</w:t>
      </w:r>
      <w:r w:rsidRPr="00320DA2">
        <w:rPr>
          <w:u w:val="single"/>
          <w:vertAlign w:val="superscript"/>
        </w:rPr>
        <w:t>—</w:t>
      </w:r>
      <w:r w:rsidRPr="00320DA2">
        <w:rPr>
          <w:u w:val="single"/>
        </w:rPr>
        <w:t>Ionenkonzentration</w:t>
      </w:r>
      <w:r w:rsidRPr="00320DA2">
        <w:t>.</w:t>
      </w:r>
    </w:p>
    <w:tbl>
      <w:tblPr>
        <w:tblStyle w:val="Tabellenraster"/>
        <w:tblpPr w:leftFromText="141" w:rightFromText="141" w:vertAnchor="text" w:tblpY="47"/>
        <w:tblW w:w="0" w:type="auto"/>
        <w:tblLook w:val="04A0" w:firstRow="1" w:lastRow="0" w:firstColumn="1" w:lastColumn="0" w:noHBand="0" w:noVBand="1"/>
      </w:tblPr>
      <w:tblGrid>
        <w:gridCol w:w="4106"/>
      </w:tblGrid>
      <w:tr w:rsidR="00D8137A" w:rsidRPr="00CE4E04" w14:paraId="5900DAFC" w14:textId="77777777" w:rsidTr="009035EB">
        <w:trPr>
          <w:trHeight w:val="737"/>
        </w:trPr>
        <w:tc>
          <w:tcPr>
            <w:tcW w:w="4106" w:type="dxa"/>
          </w:tcPr>
          <w:p w14:paraId="3F1086D7" w14:textId="77777777" w:rsidR="00D8137A" w:rsidRPr="00320DA2" w:rsidRDefault="00D8137A" w:rsidP="009035EB"/>
          <w:p w14:paraId="7811AC03" w14:textId="64A8AD78" w:rsidR="00D8137A" w:rsidRPr="00A50779" w:rsidRDefault="00D8137A" w:rsidP="009035EB">
            <w:pPr>
              <w:rPr>
                <w:lang w:val="en-GB"/>
              </w:rPr>
            </w:pPr>
            <w:r w:rsidRPr="00A50779">
              <w:rPr>
                <w:lang w:val="en-GB"/>
              </w:rPr>
              <w:t>pOH = -log(c(OH</w:t>
            </w:r>
            <w:r w:rsidRPr="00A50779">
              <w:rPr>
                <w:vertAlign w:val="superscript"/>
                <w:lang w:val="en-GB"/>
              </w:rPr>
              <w:t>-</w:t>
            </w:r>
            <w:r w:rsidRPr="00A50779">
              <w:rPr>
                <w:lang w:val="en-GB"/>
              </w:rPr>
              <w:t xml:space="preserve">))  </w:t>
            </w:r>
            <w:r w:rsidRPr="00320DA2">
              <w:sym w:font="Wingdings" w:char="F0E0"/>
            </w:r>
            <w:r w:rsidRPr="00A50779">
              <w:rPr>
                <w:lang w:val="en-GB"/>
              </w:rPr>
              <w:t xml:space="preserve">  c(OH</w:t>
            </w:r>
            <w:r w:rsidRPr="00A50779">
              <w:rPr>
                <w:vertAlign w:val="superscript"/>
                <w:lang w:val="en-GB"/>
              </w:rPr>
              <w:t>-</w:t>
            </w:r>
            <w:r w:rsidRPr="00A50779">
              <w:rPr>
                <w:lang w:val="en-GB"/>
              </w:rPr>
              <w:t>) = 10</w:t>
            </w:r>
            <w:r w:rsidRPr="00A50779">
              <w:rPr>
                <w:vertAlign w:val="superscript"/>
                <w:lang w:val="en-GB"/>
              </w:rPr>
              <w:t>-pOH</w:t>
            </w:r>
          </w:p>
        </w:tc>
      </w:tr>
    </w:tbl>
    <w:p w14:paraId="10DDE4F8" w14:textId="77777777" w:rsidR="00D8137A" w:rsidRPr="00A50779" w:rsidRDefault="00D8137A" w:rsidP="00D8137A">
      <w:pPr>
        <w:rPr>
          <w:lang w:val="en-GB"/>
        </w:rPr>
      </w:pPr>
      <w:r w:rsidRPr="00A50779">
        <w:rPr>
          <w:lang w:val="en-GB"/>
        </w:rPr>
        <w:br/>
      </w:r>
    </w:p>
    <w:p w14:paraId="5DCD5BC4" w14:textId="0BEB57BC" w:rsidR="00320DA2" w:rsidRPr="00A50779" w:rsidRDefault="00320DA2">
      <w:pPr>
        <w:rPr>
          <w:lang w:val="en-GB"/>
        </w:rPr>
      </w:pPr>
      <w:r w:rsidRPr="00A50779">
        <w:rPr>
          <w:lang w:val="en-GB"/>
        </w:rPr>
        <w:br/>
      </w:r>
    </w:p>
    <w:p w14:paraId="14A6B1E9" w14:textId="78D69401" w:rsidR="00320DA2" w:rsidRPr="00320DA2" w:rsidRDefault="00320DA2">
      <w:pPr>
        <w:rPr>
          <w:b/>
          <w:bCs/>
          <w:u w:val="single"/>
        </w:rPr>
      </w:pPr>
      <w:r w:rsidRPr="00320DA2">
        <w:rPr>
          <w:b/>
          <w:bCs/>
          <w:u w:val="single"/>
        </w:rPr>
        <w:t>Indikatoren:</w:t>
      </w:r>
    </w:p>
    <w:p w14:paraId="5BC81383" w14:textId="7ADC6822" w:rsidR="00320DA2" w:rsidRDefault="00320DA2">
      <w:r w:rsidRPr="00320DA2">
        <w:t>Säure-Base</w:t>
      </w:r>
      <w:r>
        <w:t xml:space="preserve">-Indikatoren werden dazu verwendet, um den pH- resp. den </w:t>
      </w:r>
      <w:proofErr w:type="spellStart"/>
      <w:r>
        <w:t>pOH</w:t>
      </w:r>
      <w:proofErr w:type="spellEnd"/>
      <w:r>
        <w:t xml:space="preserve">-Wert einer Lösung zu bestimmen. Diese Indikatoren haben meistens einen spezifischen Umschlagpunkt, bei dem sie ihre Farbe ändern. Im Bereich des Umschlagpunktes ist teilweise auch eine Mischfarbe möglich. Die Farbigkeit der Indikatoren ist pH-Wert-abhängig, weil sie abhängig von der Oxoniumionen Konzentration </w:t>
      </w:r>
      <w:r w:rsidRPr="00320DA2">
        <w:rPr>
          <w:u w:val="single"/>
        </w:rPr>
        <w:t>protoniert</w:t>
      </w:r>
      <w:r>
        <w:t xml:space="preserve"> oder </w:t>
      </w:r>
      <w:r w:rsidRPr="00320DA2">
        <w:rPr>
          <w:u w:val="single"/>
        </w:rPr>
        <w:t>deprotoniert</w:t>
      </w:r>
      <w:r>
        <w:t xml:space="preserve"> vorliegen.</w:t>
      </w:r>
    </w:p>
    <w:p w14:paraId="06F8E85D" w14:textId="4D7D6E49" w:rsidR="00320DA2" w:rsidRDefault="00320DA2"/>
    <w:p w14:paraId="3F04FFFC" w14:textId="45637498" w:rsidR="00320DA2" w:rsidRPr="00CC687C" w:rsidRDefault="00CC687C">
      <w:pPr>
        <w:rPr>
          <w:b/>
          <w:bCs/>
          <w:u w:val="single"/>
        </w:rPr>
      </w:pPr>
      <w:r w:rsidRPr="00CC687C">
        <w:rPr>
          <w:noProof/>
        </w:rPr>
        <w:drawing>
          <wp:anchor distT="0" distB="0" distL="114300" distR="114300" simplePos="0" relativeHeight="251658240" behindDoc="0" locked="0" layoutInCell="1" allowOverlap="1" wp14:anchorId="09937492" wp14:editId="4BDE3159">
            <wp:simplePos x="0" y="0"/>
            <wp:positionH relativeFrom="column">
              <wp:posOffset>2870249</wp:posOffset>
            </wp:positionH>
            <wp:positionV relativeFrom="paragraph">
              <wp:posOffset>95201</wp:posOffset>
            </wp:positionV>
            <wp:extent cx="3541395" cy="3847465"/>
            <wp:effectExtent l="0" t="0" r="1905"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541395" cy="3847465"/>
                    </a:xfrm>
                    <a:prstGeom prst="rect">
                      <a:avLst/>
                    </a:prstGeom>
                  </pic:spPr>
                </pic:pic>
              </a:graphicData>
            </a:graphic>
            <wp14:sizeRelH relativeFrom="page">
              <wp14:pctWidth>0</wp14:pctWidth>
            </wp14:sizeRelH>
            <wp14:sizeRelV relativeFrom="page">
              <wp14:pctHeight>0</wp14:pctHeight>
            </wp14:sizeRelV>
          </wp:anchor>
        </w:drawing>
      </w:r>
      <w:r w:rsidR="00320DA2" w:rsidRPr="00CC687C">
        <w:rPr>
          <w:b/>
          <w:bCs/>
          <w:u w:val="single"/>
        </w:rPr>
        <w:t>Titration:</w:t>
      </w:r>
    </w:p>
    <w:p w14:paraId="5B75561B" w14:textId="1E33D447" w:rsidR="00320DA2" w:rsidRDefault="00982CB8">
      <w:r>
        <w:t xml:space="preserve">Durch eine Titration kann man die Konzentration einer sauren oder basischen Lösung mit hoher Genauigkeit bestimmen. Eine Titration </w:t>
      </w:r>
      <w:proofErr w:type="gramStart"/>
      <w:r>
        <w:t>Verläuft</w:t>
      </w:r>
      <w:proofErr w:type="gramEnd"/>
      <w:r>
        <w:t xml:space="preserve"> wie folgt:</w:t>
      </w:r>
    </w:p>
    <w:p w14:paraId="0E49CF9C" w14:textId="2218752C" w:rsidR="00CC687C" w:rsidRPr="00982CB8" w:rsidRDefault="00982CB8" w:rsidP="00CC687C">
      <w:r>
        <w:t>Man will die Konzentration c(B) einer Basenlösung bestimmen. Dazu wird ein bestimmtes Volumen V(B) der Base abgemessen. Danach wird die Base in einem Reaktionsgefäss mit einer Starken Säure (meistens H</w:t>
      </w:r>
      <w:r>
        <w:rPr>
          <w:vertAlign w:val="superscript"/>
        </w:rPr>
        <w:t>+</w:t>
      </w:r>
      <w:r>
        <w:t>) zur Reaktion gebracht. Die Konzentration c(HA) dieser Säure ist bekannt. Es wird so lange tropfenweise Säure hinzugefügt, bis die Ganze Base verbraucht ist, dies ist am Äquivalenzpunkt</w:t>
      </w:r>
      <w:r w:rsidR="00CC687C">
        <w:t xml:space="preserve"> (pH=7)</w:t>
      </w:r>
      <w:r>
        <w:t xml:space="preserve"> der Fall.</w:t>
      </w:r>
      <w:r w:rsidR="00CC687C">
        <w:t xml:space="preserve"> Der pH-Wert wird während der Messung fortlaufend bestimmt. Anhand des Verbrauchs in ml an Säure am Äquivalenzpunkt lässt sich die Konzentration c(B) der Base schliesslich bestimmen.</w:t>
      </w:r>
    </w:p>
    <w:p w14:paraId="7EAE8C8F" w14:textId="379C3666" w:rsidR="00146772" w:rsidRPr="00642A2D" w:rsidRDefault="00CC687C" w:rsidP="00642A2D">
      <w:pPr>
        <w:ind w:left="4960" w:hanging="710"/>
        <w:rPr>
          <w:sz w:val="16"/>
          <w:szCs w:val="16"/>
          <w:lang w:val="fr-CH"/>
        </w:rPr>
      </w:pPr>
      <w:r w:rsidRPr="00CC687C">
        <w:rPr>
          <w:sz w:val="16"/>
          <w:szCs w:val="16"/>
          <w:lang w:val="fr-CH"/>
        </w:rPr>
        <w:t xml:space="preserve">Quelle : </w:t>
      </w:r>
      <w:r>
        <w:rPr>
          <w:sz w:val="16"/>
          <w:szCs w:val="16"/>
          <w:lang w:val="fr-CH"/>
        </w:rPr>
        <w:tab/>
      </w:r>
      <w:proofErr w:type="gramStart"/>
      <w:r w:rsidRPr="00CC687C">
        <w:rPr>
          <w:sz w:val="16"/>
          <w:szCs w:val="16"/>
          <w:lang w:val="fr-CH"/>
        </w:rPr>
        <w:t>https:</w:t>
      </w:r>
      <w:proofErr w:type="gramEnd"/>
      <w:hyperlink r:id="rId7" w:history="1">
        <w:r w:rsidRPr="00CC39BB">
          <w:rPr>
            <w:rStyle w:val="Hyperlink"/>
            <w:sz w:val="16"/>
            <w:szCs w:val="16"/>
            <w:lang w:val="fr-CH"/>
          </w:rPr>
          <w:t>//www.abiweb.de/anorganische-chemie/donator-akzept</w:t>
        </w:r>
      </w:hyperlink>
      <w:r w:rsidRPr="00CC687C">
        <w:rPr>
          <w:sz w:val="16"/>
          <w:szCs w:val="16"/>
          <w:lang w:val="fr-CH"/>
        </w:rPr>
        <w:t>or-prinzip/saeure-base-chemie/saeure-base-titration.html</w:t>
      </w:r>
    </w:p>
    <w:sectPr w:rsidR="00146772" w:rsidRPr="00642A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159"/>
    <w:multiLevelType w:val="hybridMultilevel"/>
    <w:tmpl w:val="867A6D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9230F59"/>
    <w:multiLevelType w:val="hybridMultilevel"/>
    <w:tmpl w:val="062C407A"/>
    <w:lvl w:ilvl="0" w:tplc="E7C2AC02">
      <w:start w:val="1"/>
      <w:numFmt w:val="decimal"/>
      <w:lvlText w:val="%1."/>
      <w:lvlJc w:val="left"/>
      <w:pPr>
        <w:ind w:left="1068" w:hanging="360"/>
      </w:pPr>
      <w:rPr>
        <w:rFonts w:hint="default"/>
        <w:vertAlign w:val="baseline"/>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2" w15:restartNumberingAfterBreak="0">
    <w:nsid w:val="19C13CCD"/>
    <w:multiLevelType w:val="hybridMultilevel"/>
    <w:tmpl w:val="99FCDB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F382544"/>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574522B"/>
    <w:multiLevelType w:val="hybridMultilevel"/>
    <w:tmpl w:val="D6A6516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82B7B85"/>
    <w:multiLevelType w:val="hybridMultilevel"/>
    <w:tmpl w:val="A6AA7210"/>
    <w:lvl w:ilvl="0" w:tplc="45FAE0E8">
      <w:start w:val="1"/>
      <w:numFmt w:val="lowerLetter"/>
      <w:lvlText w:val="%1)"/>
      <w:lvlJc w:val="left"/>
      <w:pPr>
        <w:ind w:left="1080" w:hanging="360"/>
      </w:pPr>
      <w:rPr>
        <w:rFonts w:cstheme="minorBidi"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6" w15:restartNumberingAfterBreak="0">
    <w:nsid w:val="7B13656A"/>
    <w:multiLevelType w:val="hybridMultilevel"/>
    <w:tmpl w:val="91AACFAC"/>
    <w:lvl w:ilvl="0" w:tplc="95F2CC34">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7F"/>
    <w:rsid w:val="000D771F"/>
    <w:rsid w:val="000F4B2F"/>
    <w:rsid w:val="00146772"/>
    <w:rsid w:val="00193489"/>
    <w:rsid w:val="002425D6"/>
    <w:rsid w:val="00320DA2"/>
    <w:rsid w:val="0048557F"/>
    <w:rsid w:val="004E3DB9"/>
    <w:rsid w:val="005B1838"/>
    <w:rsid w:val="00636F5C"/>
    <w:rsid w:val="00642A2D"/>
    <w:rsid w:val="00701904"/>
    <w:rsid w:val="007877B6"/>
    <w:rsid w:val="007B09DC"/>
    <w:rsid w:val="007B6905"/>
    <w:rsid w:val="007D1384"/>
    <w:rsid w:val="008E5DDE"/>
    <w:rsid w:val="00904EAE"/>
    <w:rsid w:val="00905EE3"/>
    <w:rsid w:val="00940DDC"/>
    <w:rsid w:val="00982CB8"/>
    <w:rsid w:val="00A00056"/>
    <w:rsid w:val="00A50779"/>
    <w:rsid w:val="00A64186"/>
    <w:rsid w:val="00B85953"/>
    <w:rsid w:val="00CC687C"/>
    <w:rsid w:val="00CE4E04"/>
    <w:rsid w:val="00D21318"/>
    <w:rsid w:val="00D8137A"/>
    <w:rsid w:val="00D83771"/>
    <w:rsid w:val="00DC16B9"/>
    <w:rsid w:val="00EF56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51EC"/>
  <w15:chartTrackingRefBased/>
  <w15:docId w15:val="{F43BD12B-4F31-48A3-A871-0F51D032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85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D771F"/>
    <w:pPr>
      <w:ind w:left="720"/>
      <w:contextualSpacing/>
    </w:pPr>
  </w:style>
  <w:style w:type="character" w:styleId="Hyperlink">
    <w:name w:val="Hyperlink"/>
    <w:basedOn w:val="Absatz-Standardschriftart"/>
    <w:uiPriority w:val="99"/>
    <w:unhideWhenUsed/>
    <w:rsid w:val="00CC687C"/>
    <w:rPr>
      <w:color w:val="0563C1" w:themeColor="hyperlink"/>
      <w:u w:val="single"/>
    </w:rPr>
  </w:style>
  <w:style w:type="character" w:styleId="NichtaufgelsteErwhnung">
    <w:name w:val="Unresolved Mention"/>
    <w:basedOn w:val="Absatz-Standardschriftart"/>
    <w:uiPriority w:val="99"/>
    <w:semiHidden/>
    <w:unhideWhenUsed/>
    <w:rsid w:val="00CC6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257170">
      <w:bodyDiv w:val="1"/>
      <w:marLeft w:val="0"/>
      <w:marRight w:val="0"/>
      <w:marTop w:val="0"/>
      <w:marBottom w:val="0"/>
      <w:divBdr>
        <w:top w:val="none" w:sz="0" w:space="0" w:color="auto"/>
        <w:left w:val="none" w:sz="0" w:space="0" w:color="auto"/>
        <w:bottom w:val="none" w:sz="0" w:space="0" w:color="auto"/>
        <w:right w:val="none" w:sz="0" w:space="0" w:color="auto"/>
      </w:divBdr>
    </w:div>
    <w:div w:id="196850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ww.abiweb.de/anorganische-chemie/donator-akze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flosi@bluewin.ch</dc:creator>
  <cp:keywords/>
  <dc:description/>
  <cp:lastModifiedBy>Steiger Rainer</cp:lastModifiedBy>
  <cp:revision>14</cp:revision>
  <dcterms:created xsi:type="dcterms:W3CDTF">2020-04-09T07:24:00Z</dcterms:created>
  <dcterms:modified xsi:type="dcterms:W3CDTF">2020-04-21T11:27:00Z</dcterms:modified>
</cp:coreProperties>
</file>